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BF" w:rsidRDefault="00E008BF" w:rsidP="00E008BF">
      <w:pPr>
        <w:rPr>
          <w:lang w:val="es-VE"/>
        </w:rPr>
      </w:pPr>
    </w:p>
    <w:p w:rsidR="00E008BF" w:rsidRPr="00E008BF" w:rsidRDefault="00E008BF" w:rsidP="00E008BF">
      <w:pPr>
        <w:rPr>
          <w:lang w:val="es-VE"/>
        </w:rPr>
      </w:pPr>
    </w:p>
    <w:p w:rsidR="00053E10" w:rsidRPr="00053E10" w:rsidRDefault="00053E10" w:rsidP="00053E10">
      <w:pPr>
        <w:spacing w:after="0" w:line="240" w:lineRule="auto"/>
        <w:rPr>
          <w:rFonts w:ascii="Times New Roman" w:eastAsia="Gulim" w:hAnsi="Times New Roman" w:cs="Times New Roman"/>
          <w:lang w:val="es-VE"/>
        </w:rPr>
      </w:pPr>
      <w:r w:rsidRPr="00053E10">
        <w:rPr>
          <w:rFonts w:ascii="Times New Roman" w:eastAsia="Gulim" w:hAnsi="Times New Roman" w:cs="Times New Roman"/>
          <w:lang w:val="es-VE"/>
        </w:rPr>
        <w:t>Universidad Nacional Experimental de Guayana</w:t>
      </w:r>
    </w:p>
    <w:p w:rsidR="00053E10" w:rsidRPr="00053E10" w:rsidRDefault="00053E10" w:rsidP="00053E10">
      <w:pPr>
        <w:spacing w:after="0" w:line="240" w:lineRule="auto"/>
        <w:rPr>
          <w:rFonts w:ascii="Times New Roman" w:eastAsia="Gulim" w:hAnsi="Times New Roman" w:cs="Times New Roman"/>
          <w:b/>
          <w:lang w:val="es-VE"/>
        </w:rPr>
      </w:pPr>
      <w:proofErr w:type="gramStart"/>
      <w:r w:rsidRPr="00053E10">
        <w:rPr>
          <w:rFonts w:ascii="Times New Roman" w:eastAsia="Gulim" w:hAnsi="Times New Roman" w:cs="Times New Roman"/>
          <w:lang w:val="es-VE"/>
        </w:rPr>
        <w:t>Evaluación N.º</w:t>
      </w:r>
      <w:proofErr w:type="gramEnd"/>
      <w:r w:rsidRPr="00053E10">
        <w:rPr>
          <w:rFonts w:ascii="Times New Roman" w:eastAsia="Gulim" w:hAnsi="Times New Roman" w:cs="Times New Roman"/>
          <w:lang w:val="es-VE"/>
        </w:rPr>
        <w:t xml:space="preserve"> 3 (valor 20) </w:t>
      </w:r>
      <w:r w:rsidRPr="00053E10">
        <w:rPr>
          <w:rFonts w:ascii="Times New Roman" w:eastAsia="Gulim" w:hAnsi="Times New Roman" w:cs="Times New Roman"/>
          <w:b/>
          <w:lang w:val="es-VE"/>
        </w:rPr>
        <w:t>NOMBRE Y APELLIDO:</w:t>
      </w:r>
      <w:bookmarkStart w:id="0" w:name="_GoBack"/>
      <w:bookmarkEnd w:id="0"/>
      <w:r w:rsidRPr="00053E10">
        <w:rPr>
          <w:rFonts w:ascii="Times New Roman" w:eastAsia="Gulim" w:hAnsi="Times New Roman" w:cs="Times New Roman"/>
          <w:b/>
          <w:lang w:val="es-VE"/>
        </w:rPr>
        <w:t xml:space="preserve"> </w:t>
      </w:r>
    </w:p>
    <w:p w:rsidR="00E008BF" w:rsidRPr="00053E10" w:rsidRDefault="00053E10" w:rsidP="00053E10">
      <w:pPr>
        <w:spacing w:after="0" w:line="240" w:lineRule="auto"/>
        <w:rPr>
          <w:rFonts w:ascii="Times New Roman" w:eastAsia="Gulim" w:hAnsi="Times New Roman" w:cs="Times New Roman"/>
          <w:lang w:val="es-VE"/>
        </w:rPr>
      </w:pPr>
      <w:r w:rsidRPr="00053E10">
        <w:rPr>
          <w:rFonts w:ascii="Times New Roman" w:eastAsia="Gulim" w:hAnsi="Times New Roman" w:cs="Times New Roman"/>
          <w:lang w:val="es-VE"/>
        </w:rPr>
        <w:t xml:space="preserve">Contenido: Modelos de enseñanza de la lectura: Goodman, Solé y van </w:t>
      </w:r>
      <w:proofErr w:type="spellStart"/>
      <w:r w:rsidRPr="00053E10">
        <w:rPr>
          <w:rFonts w:ascii="Times New Roman" w:eastAsia="Gulim" w:hAnsi="Times New Roman" w:cs="Times New Roman"/>
          <w:lang w:val="es-VE"/>
        </w:rPr>
        <w:t>Dijk</w:t>
      </w:r>
      <w:proofErr w:type="spellEnd"/>
      <w:r w:rsidRPr="00053E10">
        <w:rPr>
          <w:rFonts w:ascii="Times New Roman" w:eastAsia="Gulim" w:hAnsi="Times New Roman" w:cs="Times New Roman"/>
          <w:lang w:val="es-VE"/>
        </w:rPr>
        <w:t>.</w:t>
      </w:r>
    </w:p>
    <w:p w:rsidR="009B57A6" w:rsidRPr="00053E10" w:rsidRDefault="009B57A6" w:rsidP="00053E10">
      <w:pPr>
        <w:pStyle w:val="Prrafodelista"/>
        <w:numPr>
          <w:ilvl w:val="0"/>
          <w:numId w:val="1"/>
        </w:numPr>
        <w:spacing w:before="100" w:beforeAutospacing="1" w:after="100" w:afterAutospacing="1" w:line="240" w:lineRule="auto"/>
        <w:rPr>
          <w:rFonts w:ascii="Times New Roman" w:eastAsia="Times New Roman" w:hAnsi="Times New Roman" w:cs="Times New Roman"/>
          <w:b/>
          <w:sz w:val="24"/>
          <w:szCs w:val="24"/>
          <w:lang w:val="es-VE"/>
        </w:rPr>
      </w:pPr>
      <w:r w:rsidRPr="00053E10">
        <w:rPr>
          <w:rFonts w:ascii="Times New Roman" w:eastAsia="Times New Roman" w:hAnsi="Times New Roman" w:cs="Times New Roman"/>
          <w:b/>
          <w:sz w:val="24"/>
          <w:szCs w:val="24"/>
          <w:lang w:val="es-VE"/>
        </w:rPr>
        <w:t>Lee cuidadosamente los fragmentos presentados en el cuadro e identifica la estrategia de lectura que se aplica en cada caso. Luego, justifica tu elección explicando cómo dicha estrategia se rela</w:t>
      </w:r>
      <w:r w:rsidRPr="00053E10">
        <w:rPr>
          <w:rFonts w:ascii="Times New Roman" w:eastAsia="Times New Roman" w:hAnsi="Times New Roman" w:cs="Times New Roman"/>
          <w:b/>
          <w:sz w:val="24"/>
          <w:szCs w:val="24"/>
          <w:lang w:val="es-VE"/>
        </w:rPr>
        <w:t>ciona con el modelo de Goodman.</w:t>
      </w:r>
    </w:p>
    <w:p w:rsidR="009B57A6" w:rsidRPr="009B57A6" w:rsidRDefault="009B57A6" w:rsidP="009B57A6">
      <w:pPr>
        <w:spacing w:before="100" w:beforeAutospacing="1" w:after="100" w:afterAutospacing="1" w:line="240" w:lineRule="auto"/>
        <w:rPr>
          <w:rFonts w:ascii="Times New Roman" w:eastAsia="Times New Roman" w:hAnsi="Times New Roman" w:cs="Times New Roman"/>
          <w:sz w:val="24"/>
          <w:szCs w:val="24"/>
          <w:lang w:val="es-VE"/>
        </w:rPr>
      </w:pPr>
      <w:r w:rsidRPr="009B57A6">
        <w:rPr>
          <w:rFonts w:ascii="Times New Roman" w:eastAsia="Times New Roman" w:hAnsi="Times New Roman" w:cs="Times New Roman"/>
          <w:sz w:val="24"/>
          <w:szCs w:val="24"/>
          <w:lang w:val="es-VE"/>
        </w:rPr>
        <w:t>Recuerda que, según el modelo de Goodman, la lectura es un proceso activo en el que el lector construye significado al interactuar con el texto. Para ello, se emplean estrategias como muestreo, inferencia, predicción, autocontrol y autocorrección, las cuales permiten comprender y analizar l</w:t>
      </w:r>
      <w:r>
        <w:rPr>
          <w:rFonts w:ascii="Times New Roman" w:eastAsia="Times New Roman" w:hAnsi="Times New Roman" w:cs="Times New Roman"/>
          <w:sz w:val="24"/>
          <w:szCs w:val="24"/>
          <w:lang w:val="es-VE"/>
        </w:rPr>
        <w:t>a información de manera eficaz.</w:t>
      </w:r>
    </w:p>
    <w:p w:rsidR="00790A2E" w:rsidRPr="00790A2E" w:rsidRDefault="009B57A6" w:rsidP="009B57A6">
      <w:pPr>
        <w:spacing w:before="100" w:beforeAutospacing="1" w:after="100" w:afterAutospacing="1" w:line="240" w:lineRule="auto"/>
        <w:rPr>
          <w:rFonts w:ascii="Times New Roman" w:eastAsia="Times New Roman" w:hAnsi="Times New Roman" w:cs="Times New Roman"/>
          <w:sz w:val="24"/>
          <w:szCs w:val="24"/>
          <w:lang w:val="es-VE"/>
        </w:rPr>
      </w:pPr>
      <w:r w:rsidRPr="009B57A6">
        <w:rPr>
          <w:rFonts w:ascii="Times New Roman" w:eastAsia="Times New Roman" w:hAnsi="Times New Roman" w:cs="Times New Roman"/>
          <w:sz w:val="24"/>
          <w:szCs w:val="24"/>
          <w:lang w:val="es-VE"/>
        </w:rPr>
        <w:t>Fundamenta tu respuesta con ejemplos concretos del texto y establece una relación clara entre la estrategia seleccionada y los principios del modelo de Goodman.</w:t>
      </w:r>
    </w:p>
    <w:tbl>
      <w:tblPr>
        <w:tblStyle w:val="Cuadrculadetablaclara"/>
        <w:tblW w:w="0" w:type="auto"/>
        <w:tblLook w:val="04A0" w:firstRow="1" w:lastRow="0" w:firstColumn="1" w:lastColumn="0" w:noHBand="0" w:noVBand="1"/>
      </w:tblPr>
      <w:tblGrid>
        <w:gridCol w:w="3539"/>
        <w:gridCol w:w="2977"/>
        <w:gridCol w:w="2312"/>
      </w:tblGrid>
      <w:tr w:rsidR="00790A2E" w:rsidRPr="00053E10" w:rsidTr="00C843FF">
        <w:tc>
          <w:tcPr>
            <w:tcW w:w="3539" w:type="dxa"/>
            <w:hideMark/>
          </w:tcPr>
          <w:p w:rsidR="00790A2E" w:rsidRPr="00790A2E" w:rsidRDefault="00790A2E" w:rsidP="00790A2E">
            <w:pPr>
              <w:jc w:val="center"/>
              <w:rPr>
                <w:rFonts w:ascii="Times New Roman" w:eastAsia="Times New Roman" w:hAnsi="Times New Roman" w:cs="Times New Roman"/>
                <w:b/>
                <w:bCs/>
                <w:sz w:val="20"/>
                <w:szCs w:val="20"/>
              </w:rPr>
            </w:pPr>
            <w:proofErr w:type="spellStart"/>
            <w:r w:rsidRPr="00790A2E">
              <w:rPr>
                <w:rFonts w:ascii="Times New Roman" w:eastAsia="Times New Roman" w:hAnsi="Times New Roman" w:cs="Times New Roman"/>
                <w:b/>
                <w:bCs/>
                <w:sz w:val="20"/>
                <w:szCs w:val="20"/>
              </w:rPr>
              <w:t>Texto</w:t>
            </w:r>
            <w:proofErr w:type="spellEnd"/>
          </w:p>
        </w:tc>
        <w:tc>
          <w:tcPr>
            <w:tcW w:w="2977" w:type="dxa"/>
            <w:hideMark/>
          </w:tcPr>
          <w:p w:rsidR="00790A2E" w:rsidRPr="00790A2E" w:rsidRDefault="00790A2E" w:rsidP="00790A2E">
            <w:pPr>
              <w:jc w:val="center"/>
              <w:rPr>
                <w:rFonts w:ascii="Times New Roman" w:eastAsia="Times New Roman" w:hAnsi="Times New Roman" w:cs="Times New Roman"/>
                <w:b/>
                <w:bCs/>
                <w:sz w:val="20"/>
                <w:szCs w:val="20"/>
              </w:rPr>
            </w:pPr>
            <w:proofErr w:type="spellStart"/>
            <w:r w:rsidRPr="00790A2E">
              <w:rPr>
                <w:rFonts w:ascii="Times New Roman" w:eastAsia="Times New Roman" w:hAnsi="Times New Roman" w:cs="Times New Roman"/>
                <w:b/>
                <w:bCs/>
                <w:sz w:val="20"/>
                <w:szCs w:val="20"/>
              </w:rPr>
              <w:t>Pregunta</w:t>
            </w:r>
            <w:proofErr w:type="spellEnd"/>
          </w:p>
        </w:tc>
        <w:tc>
          <w:tcPr>
            <w:tcW w:w="2312" w:type="dxa"/>
            <w:hideMark/>
          </w:tcPr>
          <w:p w:rsidR="00790A2E" w:rsidRPr="00790A2E" w:rsidRDefault="00C843FF" w:rsidP="00790A2E">
            <w:pPr>
              <w:jc w:val="center"/>
              <w:rPr>
                <w:rFonts w:ascii="Times New Roman" w:eastAsia="Times New Roman" w:hAnsi="Times New Roman" w:cs="Times New Roman"/>
                <w:b/>
                <w:bCs/>
                <w:sz w:val="20"/>
                <w:szCs w:val="20"/>
              </w:rPr>
            </w:pPr>
            <w:proofErr w:type="spellStart"/>
            <w:r w:rsidRPr="00053E10">
              <w:rPr>
                <w:rFonts w:ascii="Times New Roman" w:eastAsia="Times New Roman" w:hAnsi="Times New Roman" w:cs="Times New Roman"/>
                <w:b/>
                <w:bCs/>
                <w:sz w:val="20"/>
                <w:szCs w:val="20"/>
              </w:rPr>
              <w:t>Explique</w:t>
            </w:r>
            <w:proofErr w:type="spellEnd"/>
          </w:p>
        </w:tc>
      </w:tr>
      <w:tr w:rsidR="00790A2E" w:rsidRPr="00053E10" w:rsidTr="00C843FF">
        <w:tc>
          <w:tcPr>
            <w:tcW w:w="3539" w:type="dxa"/>
            <w:hideMark/>
          </w:tcPr>
          <w:p w:rsidR="00790A2E" w:rsidRPr="00790A2E" w:rsidRDefault="00790A2E" w:rsidP="00790A2E">
            <w:pPr>
              <w:rPr>
                <w:rFonts w:ascii="Times New Roman" w:eastAsia="Times New Roman" w:hAnsi="Times New Roman" w:cs="Times New Roman"/>
                <w:sz w:val="20"/>
                <w:szCs w:val="20"/>
                <w:lang w:val="es-VE"/>
              </w:rPr>
            </w:pPr>
            <w:r w:rsidRPr="00790A2E">
              <w:rPr>
                <w:rFonts w:ascii="Times New Roman" w:eastAsia="Times New Roman" w:hAnsi="Times New Roman" w:cs="Times New Roman"/>
                <w:sz w:val="20"/>
                <w:szCs w:val="20"/>
                <w:lang w:val="es-VE"/>
              </w:rPr>
              <w:t>"El cambio climático es un fenómeno que afecta a todo el planeta. Las temperaturas extremas, el aumento del nivel del mar y los eventos climáticos severos son algunas de sus consecuencias."</w:t>
            </w:r>
          </w:p>
        </w:tc>
        <w:tc>
          <w:tcPr>
            <w:tcW w:w="2977" w:type="dxa"/>
            <w:hideMark/>
          </w:tcPr>
          <w:p w:rsidR="00790A2E" w:rsidRPr="00790A2E" w:rsidRDefault="00790A2E" w:rsidP="00790A2E">
            <w:pPr>
              <w:rPr>
                <w:rFonts w:ascii="Times New Roman" w:eastAsia="Times New Roman" w:hAnsi="Times New Roman" w:cs="Times New Roman"/>
                <w:sz w:val="20"/>
                <w:szCs w:val="20"/>
                <w:lang w:val="es-VE"/>
              </w:rPr>
            </w:pPr>
            <w:r w:rsidRPr="00790A2E">
              <w:rPr>
                <w:rFonts w:ascii="Times New Roman" w:eastAsia="Times New Roman" w:hAnsi="Times New Roman" w:cs="Times New Roman"/>
                <w:sz w:val="20"/>
                <w:szCs w:val="20"/>
                <w:lang w:val="es-VE"/>
              </w:rPr>
              <w:t>¿Qué estrategia de lectura se utiliza al identificar palabras clave como 'cambio climático', 'temperaturas extremas' y 'nivel del mar'?</w:t>
            </w:r>
          </w:p>
        </w:tc>
        <w:tc>
          <w:tcPr>
            <w:tcW w:w="2312" w:type="dxa"/>
            <w:hideMark/>
          </w:tcPr>
          <w:p w:rsidR="00790A2E" w:rsidRPr="00790A2E" w:rsidRDefault="00790A2E" w:rsidP="00790A2E">
            <w:pPr>
              <w:rPr>
                <w:rFonts w:ascii="Times New Roman" w:eastAsia="Times New Roman" w:hAnsi="Times New Roman" w:cs="Times New Roman"/>
                <w:sz w:val="20"/>
                <w:szCs w:val="20"/>
                <w:lang w:val="es-VE"/>
              </w:rPr>
            </w:pPr>
          </w:p>
        </w:tc>
      </w:tr>
      <w:tr w:rsidR="00790A2E" w:rsidRPr="00053E10" w:rsidTr="00C843FF">
        <w:tc>
          <w:tcPr>
            <w:tcW w:w="3539" w:type="dxa"/>
            <w:hideMark/>
          </w:tcPr>
          <w:p w:rsidR="00790A2E" w:rsidRPr="00790A2E" w:rsidRDefault="00790A2E" w:rsidP="00790A2E">
            <w:pPr>
              <w:rPr>
                <w:rFonts w:ascii="Times New Roman" w:eastAsia="Times New Roman" w:hAnsi="Times New Roman" w:cs="Times New Roman"/>
                <w:sz w:val="20"/>
                <w:szCs w:val="20"/>
                <w:lang w:val="es-VE"/>
              </w:rPr>
            </w:pPr>
            <w:r w:rsidRPr="00790A2E">
              <w:rPr>
                <w:rFonts w:ascii="Times New Roman" w:eastAsia="Times New Roman" w:hAnsi="Times New Roman" w:cs="Times New Roman"/>
                <w:sz w:val="20"/>
                <w:szCs w:val="20"/>
                <w:lang w:val="es-VE"/>
              </w:rPr>
              <w:t>"La fotosíntesis es un proceso mediante el cual las plantas convierten la luz solar en energía química. Este proceso también produce oxígeno, esencial para la vida en la Tierra."</w:t>
            </w:r>
          </w:p>
        </w:tc>
        <w:tc>
          <w:tcPr>
            <w:tcW w:w="2977" w:type="dxa"/>
            <w:hideMark/>
          </w:tcPr>
          <w:p w:rsidR="00790A2E" w:rsidRPr="00790A2E" w:rsidRDefault="00C843FF" w:rsidP="00C843FF">
            <w:pPr>
              <w:rPr>
                <w:rFonts w:ascii="Times New Roman" w:eastAsia="Times New Roman" w:hAnsi="Times New Roman" w:cs="Times New Roman"/>
                <w:sz w:val="20"/>
                <w:szCs w:val="20"/>
                <w:lang w:val="es-VE"/>
              </w:rPr>
            </w:pPr>
            <w:r w:rsidRPr="00053E10">
              <w:rPr>
                <w:rFonts w:ascii="Times New Roman" w:eastAsia="Times New Roman" w:hAnsi="Times New Roman" w:cs="Times New Roman"/>
                <w:sz w:val="20"/>
                <w:szCs w:val="20"/>
                <w:lang w:val="es-VE"/>
              </w:rPr>
              <w:t xml:space="preserve">¿Cuál estrategia </w:t>
            </w:r>
            <w:r w:rsidR="00790A2E" w:rsidRPr="00790A2E">
              <w:rPr>
                <w:rFonts w:ascii="Times New Roman" w:eastAsia="Times New Roman" w:hAnsi="Times New Roman" w:cs="Times New Roman"/>
                <w:sz w:val="20"/>
                <w:szCs w:val="20"/>
                <w:lang w:val="es-VE"/>
              </w:rPr>
              <w:t>se utiliza al deducir que la energía química producida es glucosa?</w:t>
            </w:r>
          </w:p>
        </w:tc>
        <w:tc>
          <w:tcPr>
            <w:tcW w:w="2312" w:type="dxa"/>
            <w:hideMark/>
          </w:tcPr>
          <w:p w:rsidR="00C843FF" w:rsidRPr="00053E10" w:rsidRDefault="00C843FF" w:rsidP="00C843FF">
            <w:pPr>
              <w:rPr>
                <w:rFonts w:ascii="Times New Roman" w:eastAsia="Times New Roman" w:hAnsi="Times New Roman" w:cs="Times New Roman"/>
                <w:sz w:val="20"/>
                <w:szCs w:val="20"/>
                <w:lang w:val="es-VE"/>
              </w:rPr>
            </w:pPr>
          </w:p>
          <w:p w:rsidR="00790A2E" w:rsidRPr="00790A2E" w:rsidRDefault="00790A2E" w:rsidP="00790A2E">
            <w:pPr>
              <w:rPr>
                <w:rFonts w:ascii="Times New Roman" w:eastAsia="Times New Roman" w:hAnsi="Times New Roman" w:cs="Times New Roman"/>
                <w:sz w:val="20"/>
                <w:szCs w:val="20"/>
                <w:lang w:val="es-VE"/>
              </w:rPr>
            </w:pPr>
          </w:p>
        </w:tc>
      </w:tr>
      <w:tr w:rsidR="00790A2E" w:rsidRPr="00053E10" w:rsidTr="00C843FF">
        <w:tc>
          <w:tcPr>
            <w:tcW w:w="3539" w:type="dxa"/>
            <w:hideMark/>
          </w:tcPr>
          <w:p w:rsidR="00790A2E" w:rsidRPr="00790A2E" w:rsidRDefault="00790A2E" w:rsidP="00790A2E">
            <w:pPr>
              <w:rPr>
                <w:rFonts w:ascii="Times New Roman" w:eastAsia="Times New Roman" w:hAnsi="Times New Roman" w:cs="Times New Roman"/>
                <w:sz w:val="20"/>
                <w:szCs w:val="20"/>
                <w:lang w:val="es-VE"/>
              </w:rPr>
            </w:pPr>
            <w:r w:rsidRPr="00790A2E">
              <w:rPr>
                <w:rFonts w:ascii="Times New Roman" w:eastAsia="Times New Roman" w:hAnsi="Times New Roman" w:cs="Times New Roman"/>
                <w:sz w:val="20"/>
                <w:szCs w:val="20"/>
                <w:lang w:val="es-VE"/>
              </w:rPr>
              <w:t>"María llegó tarde a la estación de tren y vio cómo el tren partía. Miró su reloj y decidió caminar hacia la cafetería mientras esperaba el próximo tren."</w:t>
            </w:r>
          </w:p>
        </w:tc>
        <w:tc>
          <w:tcPr>
            <w:tcW w:w="2977" w:type="dxa"/>
            <w:hideMark/>
          </w:tcPr>
          <w:p w:rsidR="00790A2E" w:rsidRPr="00790A2E" w:rsidRDefault="00790A2E" w:rsidP="009B57A6">
            <w:pPr>
              <w:rPr>
                <w:rFonts w:ascii="Times New Roman" w:eastAsia="Times New Roman" w:hAnsi="Times New Roman" w:cs="Times New Roman"/>
                <w:sz w:val="20"/>
                <w:szCs w:val="20"/>
                <w:lang w:val="es-VE"/>
              </w:rPr>
            </w:pPr>
            <w:r w:rsidRPr="00790A2E">
              <w:rPr>
                <w:rFonts w:ascii="Times New Roman" w:eastAsia="Times New Roman" w:hAnsi="Times New Roman" w:cs="Times New Roman"/>
                <w:sz w:val="20"/>
                <w:szCs w:val="20"/>
                <w:lang w:val="es-VE"/>
              </w:rPr>
              <w:t xml:space="preserve">¿ </w:t>
            </w:r>
            <w:r w:rsidR="009B57A6" w:rsidRPr="00053E10">
              <w:rPr>
                <w:rFonts w:ascii="Times New Roman" w:eastAsia="Times New Roman" w:hAnsi="Times New Roman" w:cs="Times New Roman"/>
                <w:sz w:val="20"/>
                <w:szCs w:val="20"/>
                <w:lang w:val="es-VE"/>
              </w:rPr>
              <w:t xml:space="preserve">Cuál estrategia </w:t>
            </w:r>
            <w:r w:rsidR="009B57A6" w:rsidRPr="00790A2E">
              <w:rPr>
                <w:rFonts w:ascii="Times New Roman" w:eastAsia="Times New Roman" w:hAnsi="Times New Roman" w:cs="Times New Roman"/>
                <w:sz w:val="20"/>
                <w:szCs w:val="20"/>
                <w:lang w:val="es-VE"/>
              </w:rPr>
              <w:t xml:space="preserve">se utiliza </w:t>
            </w:r>
            <w:r w:rsidRPr="00790A2E">
              <w:rPr>
                <w:rFonts w:ascii="Times New Roman" w:eastAsia="Times New Roman" w:hAnsi="Times New Roman" w:cs="Times New Roman"/>
                <w:sz w:val="20"/>
                <w:szCs w:val="20"/>
                <w:lang w:val="es-VE"/>
              </w:rPr>
              <w:t>al anticipar que María podría tomar un café mientras espera?</w:t>
            </w:r>
          </w:p>
        </w:tc>
        <w:tc>
          <w:tcPr>
            <w:tcW w:w="2312" w:type="dxa"/>
            <w:hideMark/>
          </w:tcPr>
          <w:p w:rsidR="00790A2E" w:rsidRPr="00790A2E" w:rsidRDefault="00790A2E" w:rsidP="00790A2E">
            <w:pPr>
              <w:rPr>
                <w:rFonts w:ascii="Times New Roman" w:eastAsia="Times New Roman" w:hAnsi="Times New Roman" w:cs="Times New Roman"/>
                <w:sz w:val="20"/>
                <w:szCs w:val="20"/>
                <w:lang w:val="es-VE"/>
              </w:rPr>
            </w:pPr>
          </w:p>
        </w:tc>
      </w:tr>
      <w:tr w:rsidR="00790A2E" w:rsidRPr="00053E10" w:rsidTr="00C843FF">
        <w:tc>
          <w:tcPr>
            <w:tcW w:w="3539" w:type="dxa"/>
            <w:hideMark/>
          </w:tcPr>
          <w:p w:rsidR="00790A2E" w:rsidRPr="00790A2E" w:rsidRDefault="00790A2E" w:rsidP="00790A2E">
            <w:pPr>
              <w:rPr>
                <w:rFonts w:ascii="Times New Roman" w:eastAsia="Times New Roman" w:hAnsi="Times New Roman" w:cs="Times New Roman"/>
                <w:sz w:val="20"/>
                <w:szCs w:val="20"/>
                <w:lang w:val="es-VE"/>
              </w:rPr>
            </w:pPr>
            <w:r w:rsidRPr="00790A2E">
              <w:rPr>
                <w:rFonts w:ascii="Times New Roman" w:eastAsia="Times New Roman" w:hAnsi="Times New Roman" w:cs="Times New Roman"/>
                <w:sz w:val="20"/>
                <w:szCs w:val="20"/>
                <w:lang w:val="es-VE"/>
              </w:rPr>
              <w:t>"Los estudiantes estaban emocionados porque mañana sería la excursión al museo. La profesora explicó que debían traer sus almuerzos y bebidas."</w:t>
            </w:r>
          </w:p>
        </w:tc>
        <w:tc>
          <w:tcPr>
            <w:tcW w:w="2977" w:type="dxa"/>
            <w:hideMark/>
          </w:tcPr>
          <w:p w:rsidR="00790A2E" w:rsidRPr="00790A2E" w:rsidRDefault="00790A2E" w:rsidP="009B57A6">
            <w:pPr>
              <w:rPr>
                <w:rFonts w:ascii="Times New Roman" w:eastAsia="Times New Roman" w:hAnsi="Times New Roman" w:cs="Times New Roman"/>
                <w:sz w:val="20"/>
                <w:szCs w:val="20"/>
                <w:lang w:val="es-VE"/>
              </w:rPr>
            </w:pPr>
            <w:r w:rsidRPr="00790A2E">
              <w:rPr>
                <w:rFonts w:ascii="Times New Roman" w:eastAsia="Times New Roman" w:hAnsi="Times New Roman" w:cs="Times New Roman"/>
                <w:sz w:val="20"/>
                <w:szCs w:val="20"/>
                <w:lang w:val="es-VE"/>
              </w:rPr>
              <w:t>¿</w:t>
            </w:r>
            <w:r w:rsidR="009B57A6" w:rsidRPr="00053E10">
              <w:rPr>
                <w:sz w:val="20"/>
                <w:szCs w:val="20"/>
                <w:lang w:val="es-VE"/>
              </w:rPr>
              <w:t xml:space="preserve"> </w:t>
            </w:r>
            <w:r w:rsidR="009B57A6" w:rsidRPr="00053E10">
              <w:rPr>
                <w:rFonts w:ascii="Times New Roman" w:eastAsia="Times New Roman" w:hAnsi="Times New Roman" w:cs="Times New Roman"/>
                <w:sz w:val="20"/>
                <w:szCs w:val="20"/>
                <w:lang w:val="es-VE"/>
              </w:rPr>
              <w:t>Cuál estrategia se utiliza</w:t>
            </w:r>
            <w:r w:rsidRPr="00790A2E">
              <w:rPr>
                <w:rFonts w:ascii="Times New Roman" w:eastAsia="Times New Roman" w:hAnsi="Times New Roman" w:cs="Times New Roman"/>
                <w:sz w:val="20"/>
                <w:szCs w:val="20"/>
                <w:lang w:val="es-VE"/>
              </w:rPr>
              <w:t xml:space="preserve"> se utiliza al identificar y corregir el error de concordancia en 'sería'?</w:t>
            </w:r>
          </w:p>
        </w:tc>
        <w:tc>
          <w:tcPr>
            <w:tcW w:w="2312" w:type="dxa"/>
            <w:hideMark/>
          </w:tcPr>
          <w:p w:rsidR="00790A2E" w:rsidRPr="00790A2E" w:rsidRDefault="00790A2E" w:rsidP="00790A2E">
            <w:pPr>
              <w:rPr>
                <w:rFonts w:ascii="Times New Roman" w:eastAsia="Times New Roman" w:hAnsi="Times New Roman" w:cs="Times New Roman"/>
                <w:sz w:val="20"/>
                <w:szCs w:val="20"/>
                <w:lang w:val="es-VE"/>
              </w:rPr>
            </w:pPr>
          </w:p>
        </w:tc>
      </w:tr>
      <w:tr w:rsidR="00790A2E" w:rsidRPr="00053E10" w:rsidTr="00C843FF">
        <w:tc>
          <w:tcPr>
            <w:tcW w:w="3539" w:type="dxa"/>
            <w:hideMark/>
          </w:tcPr>
          <w:p w:rsidR="00790A2E" w:rsidRPr="00790A2E" w:rsidRDefault="00790A2E" w:rsidP="00790A2E">
            <w:pPr>
              <w:rPr>
                <w:rFonts w:ascii="Times New Roman" w:eastAsia="Times New Roman" w:hAnsi="Times New Roman" w:cs="Times New Roman"/>
                <w:sz w:val="20"/>
                <w:szCs w:val="20"/>
                <w:lang w:val="es-VE"/>
              </w:rPr>
            </w:pPr>
            <w:r w:rsidRPr="00790A2E">
              <w:rPr>
                <w:rFonts w:ascii="Times New Roman" w:eastAsia="Times New Roman" w:hAnsi="Times New Roman" w:cs="Times New Roman"/>
                <w:sz w:val="20"/>
                <w:szCs w:val="20"/>
                <w:lang w:val="es-VE"/>
              </w:rPr>
              <w:t>"El agua es esencial para la vida en la Tierra. Sin embargo, su disponibilidad depende de factores como el clima y el consumo responsable."</w:t>
            </w:r>
          </w:p>
        </w:tc>
        <w:tc>
          <w:tcPr>
            <w:tcW w:w="2977" w:type="dxa"/>
            <w:hideMark/>
          </w:tcPr>
          <w:p w:rsidR="00790A2E" w:rsidRPr="00790A2E" w:rsidRDefault="00790A2E" w:rsidP="009B57A6">
            <w:pPr>
              <w:rPr>
                <w:rFonts w:ascii="Times New Roman" w:eastAsia="Times New Roman" w:hAnsi="Times New Roman" w:cs="Times New Roman"/>
                <w:sz w:val="20"/>
                <w:szCs w:val="20"/>
                <w:lang w:val="es-VE"/>
              </w:rPr>
            </w:pPr>
            <w:r w:rsidRPr="00790A2E">
              <w:rPr>
                <w:rFonts w:ascii="Times New Roman" w:eastAsia="Times New Roman" w:hAnsi="Times New Roman" w:cs="Times New Roman"/>
                <w:sz w:val="20"/>
                <w:szCs w:val="20"/>
                <w:lang w:val="es-VE"/>
              </w:rPr>
              <w:t>¿</w:t>
            </w:r>
            <w:r w:rsidR="009B57A6" w:rsidRPr="00053E10">
              <w:rPr>
                <w:sz w:val="20"/>
                <w:szCs w:val="20"/>
                <w:lang w:val="es-VE"/>
              </w:rPr>
              <w:t xml:space="preserve"> </w:t>
            </w:r>
            <w:r w:rsidR="009B57A6" w:rsidRPr="00053E10">
              <w:rPr>
                <w:rFonts w:ascii="Times New Roman" w:eastAsia="Times New Roman" w:hAnsi="Times New Roman" w:cs="Times New Roman"/>
                <w:sz w:val="20"/>
                <w:szCs w:val="20"/>
                <w:lang w:val="es-VE"/>
              </w:rPr>
              <w:t>Cuál estrategia se utiliza</w:t>
            </w:r>
            <w:r w:rsidRPr="00790A2E">
              <w:rPr>
                <w:rFonts w:ascii="Times New Roman" w:eastAsia="Times New Roman" w:hAnsi="Times New Roman" w:cs="Times New Roman"/>
                <w:sz w:val="20"/>
                <w:szCs w:val="20"/>
                <w:lang w:val="es-VE"/>
              </w:rPr>
              <w:t xml:space="preserve"> al reflexionar sobre la coherencia del texto y verificar que las ideas están conectadas?</w:t>
            </w:r>
          </w:p>
        </w:tc>
        <w:tc>
          <w:tcPr>
            <w:tcW w:w="2312" w:type="dxa"/>
            <w:hideMark/>
          </w:tcPr>
          <w:p w:rsidR="00790A2E" w:rsidRPr="00790A2E" w:rsidRDefault="00790A2E" w:rsidP="00790A2E">
            <w:pPr>
              <w:rPr>
                <w:rFonts w:ascii="Times New Roman" w:eastAsia="Times New Roman" w:hAnsi="Times New Roman" w:cs="Times New Roman"/>
                <w:sz w:val="20"/>
                <w:szCs w:val="20"/>
                <w:lang w:val="es-VE"/>
              </w:rPr>
            </w:pPr>
          </w:p>
        </w:tc>
      </w:tr>
    </w:tbl>
    <w:p w:rsidR="00053E10" w:rsidRDefault="00053E10" w:rsidP="00053E10">
      <w:pPr>
        <w:rPr>
          <w:lang w:val="es-VE"/>
        </w:rPr>
      </w:pPr>
    </w:p>
    <w:p w:rsidR="00053E10" w:rsidRPr="00053E10" w:rsidRDefault="00053E10" w:rsidP="00053E10">
      <w:pPr>
        <w:pStyle w:val="NormalWeb"/>
        <w:numPr>
          <w:ilvl w:val="0"/>
          <w:numId w:val="1"/>
        </w:numPr>
        <w:rPr>
          <w:lang w:val="es-VE"/>
        </w:rPr>
      </w:pPr>
      <w:r w:rsidRPr="00053E10">
        <w:rPr>
          <w:rStyle w:val="Textoennegrita"/>
          <w:lang w:val="es-VE"/>
        </w:rPr>
        <w:t>Lee el siguiente texto:</w:t>
      </w:r>
    </w:p>
    <w:p w:rsidR="00053E10" w:rsidRPr="00053E10" w:rsidRDefault="00053E10" w:rsidP="00053E10">
      <w:pPr>
        <w:pStyle w:val="NormalWeb"/>
        <w:rPr>
          <w:lang w:val="es-VE"/>
        </w:rPr>
      </w:pPr>
      <w:r w:rsidRPr="00053E10">
        <w:rPr>
          <w:rStyle w:val="nfasis"/>
          <w:lang w:val="es-VE"/>
        </w:rPr>
        <w:t>"Laura despertó temprano y vio que el cielo estaba despejado. Se puso ropa ligera y tomó una botella de agua antes de salir a correr por el parque."</w:t>
      </w:r>
    </w:p>
    <w:p w:rsidR="00053E10" w:rsidRDefault="00053E10" w:rsidP="00053E10">
      <w:pPr>
        <w:pStyle w:val="NormalWeb"/>
        <w:numPr>
          <w:ilvl w:val="0"/>
          <w:numId w:val="2"/>
        </w:numPr>
        <w:rPr>
          <w:lang w:val="es-VE"/>
        </w:rPr>
      </w:pPr>
      <w:r w:rsidRPr="00053E10">
        <w:rPr>
          <w:rStyle w:val="Textoennegrita"/>
          <w:lang w:val="es-VE"/>
        </w:rPr>
        <w:lastRenderedPageBreak/>
        <w:t>Predicción:</w:t>
      </w:r>
      <w:r w:rsidRPr="00053E10">
        <w:rPr>
          <w:lang w:val="es-VE"/>
        </w:rPr>
        <w:t xml:space="preserve"> "Laura probablemente realizará su rutina de ejercicio sin inconvenientes, ya que el clima es adecuado para correr."</w:t>
      </w:r>
    </w:p>
    <w:p w:rsidR="00053E10" w:rsidRPr="00100958" w:rsidRDefault="00053E10" w:rsidP="00053E10">
      <w:pPr>
        <w:pStyle w:val="NormalWeb"/>
        <w:numPr>
          <w:ilvl w:val="0"/>
          <w:numId w:val="2"/>
        </w:numPr>
        <w:rPr>
          <w:lang w:val="es-VE"/>
        </w:rPr>
      </w:pPr>
      <w:r w:rsidRPr="00053E10">
        <w:rPr>
          <w:rStyle w:val="Textoennegrita"/>
          <w:lang w:val="es-VE"/>
        </w:rPr>
        <w:t>Inferencia:</w:t>
      </w:r>
      <w:r w:rsidRPr="00053E10">
        <w:rPr>
          <w:lang w:val="es-VE"/>
        </w:rPr>
        <w:t xml:space="preserve"> "Laura ha revisado el clima previamente o tiene experiencia corriendo en días soleados, por lo que decidió vestirse con ropa ligera y llevar agua."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4504"/>
      </w:tblGrid>
      <w:tr w:rsidR="00100958" w:rsidRPr="00100958" w:rsidTr="004F4799">
        <w:tc>
          <w:tcPr>
            <w:tcW w:w="8828" w:type="dxa"/>
            <w:gridSpan w:val="2"/>
            <w:shd w:val="clear" w:color="auto" w:fill="auto"/>
          </w:tcPr>
          <w:p w:rsidR="00100958" w:rsidRPr="00100958" w:rsidRDefault="00100958" w:rsidP="00100958">
            <w:pPr>
              <w:spacing w:after="0" w:line="240" w:lineRule="auto"/>
              <w:rPr>
                <w:rFonts w:ascii="Cambria" w:eastAsia="Calibri" w:hAnsi="Cambria" w:cs="Times New Roman"/>
                <w:lang w:val="es-VE"/>
              </w:rPr>
            </w:pPr>
            <w:r w:rsidRPr="00053E10">
              <w:rPr>
                <w:rStyle w:val="Textoennegrita"/>
                <w:rFonts w:ascii="Times New Roman" w:hAnsi="Times New Roman" w:cs="Times New Roman"/>
                <w:lang w:val="es-VE"/>
              </w:rPr>
              <w:t>Indicación:</w:t>
            </w:r>
            <w:r w:rsidRPr="00053E10">
              <w:rPr>
                <w:rFonts w:ascii="Times New Roman" w:hAnsi="Times New Roman" w:cs="Times New Roman"/>
                <w:lang w:val="es-VE"/>
              </w:rPr>
              <w:t xml:space="preserve"> Establece las diferencias entre la predicción e inferencia formuladas. Explica cómo cada una se basa en distintos niveles de interpretación del texto y el conocimiento previo del lector.</w:t>
            </w:r>
          </w:p>
        </w:tc>
      </w:tr>
      <w:tr w:rsidR="00100958" w:rsidRPr="00100958" w:rsidTr="00100958">
        <w:tc>
          <w:tcPr>
            <w:tcW w:w="4324" w:type="dxa"/>
            <w:shd w:val="clear" w:color="auto" w:fill="auto"/>
          </w:tcPr>
          <w:p w:rsidR="00100958" w:rsidRPr="00100958" w:rsidRDefault="00100958" w:rsidP="00100958">
            <w:pPr>
              <w:spacing w:after="0" w:line="240" w:lineRule="auto"/>
              <w:jc w:val="center"/>
              <w:rPr>
                <w:rFonts w:ascii="Cambria" w:eastAsia="Calibri" w:hAnsi="Cambria" w:cs="Times New Roman"/>
                <w:b/>
                <w:lang w:val="es-VE"/>
              </w:rPr>
            </w:pPr>
            <w:r w:rsidRPr="00100958">
              <w:rPr>
                <w:rFonts w:ascii="Cambria" w:eastAsia="Calibri" w:hAnsi="Cambria" w:cs="Times New Roman"/>
                <w:b/>
                <w:lang w:val="es-VE"/>
              </w:rPr>
              <w:t>Predicción</w:t>
            </w:r>
          </w:p>
        </w:tc>
        <w:tc>
          <w:tcPr>
            <w:tcW w:w="4504" w:type="dxa"/>
            <w:shd w:val="clear" w:color="auto" w:fill="auto"/>
          </w:tcPr>
          <w:p w:rsidR="00100958" w:rsidRPr="00100958" w:rsidRDefault="00100958" w:rsidP="00100958">
            <w:pPr>
              <w:spacing w:after="0" w:line="240" w:lineRule="auto"/>
              <w:jc w:val="center"/>
              <w:rPr>
                <w:rFonts w:ascii="Cambria" w:eastAsia="Calibri" w:hAnsi="Cambria" w:cs="Times New Roman"/>
                <w:b/>
                <w:lang w:val="es-VE"/>
              </w:rPr>
            </w:pPr>
            <w:r w:rsidRPr="00100958">
              <w:rPr>
                <w:rFonts w:ascii="Cambria" w:eastAsia="Calibri" w:hAnsi="Cambria" w:cs="Times New Roman"/>
                <w:b/>
                <w:lang w:val="es-VE"/>
              </w:rPr>
              <w:t>Inferencia</w:t>
            </w:r>
          </w:p>
        </w:tc>
      </w:tr>
      <w:tr w:rsidR="00100958" w:rsidRPr="00100958" w:rsidTr="00100958">
        <w:tc>
          <w:tcPr>
            <w:tcW w:w="4324" w:type="dxa"/>
            <w:shd w:val="clear" w:color="auto" w:fill="auto"/>
          </w:tcPr>
          <w:p w:rsidR="00100958" w:rsidRPr="00100958" w:rsidRDefault="00100958" w:rsidP="00100958">
            <w:pPr>
              <w:spacing w:after="0" w:line="240" w:lineRule="auto"/>
              <w:rPr>
                <w:rFonts w:ascii="Calibri" w:eastAsia="Calibri" w:hAnsi="Calibri" w:cs="Times New Roman"/>
                <w:lang w:val="es-VE"/>
              </w:rPr>
            </w:pPr>
          </w:p>
          <w:p w:rsidR="00100958" w:rsidRDefault="00100958" w:rsidP="00100958">
            <w:pPr>
              <w:spacing w:after="0" w:line="240" w:lineRule="auto"/>
              <w:rPr>
                <w:rFonts w:ascii="Calibri" w:eastAsia="Calibri" w:hAnsi="Calibri" w:cs="Times New Roman"/>
                <w:lang w:val="es-VE"/>
              </w:rPr>
            </w:pPr>
          </w:p>
          <w:p w:rsidR="00100958" w:rsidRDefault="00100958" w:rsidP="00100958">
            <w:pPr>
              <w:spacing w:after="0" w:line="240" w:lineRule="auto"/>
              <w:rPr>
                <w:rFonts w:ascii="Calibri" w:eastAsia="Calibri" w:hAnsi="Calibri" w:cs="Times New Roman"/>
                <w:lang w:val="es-VE"/>
              </w:rPr>
            </w:pPr>
          </w:p>
          <w:p w:rsidR="00100958" w:rsidRDefault="00100958" w:rsidP="00100958">
            <w:pPr>
              <w:spacing w:after="0" w:line="240" w:lineRule="auto"/>
              <w:rPr>
                <w:rFonts w:ascii="Calibri" w:eastAsia="Calibri" w:hAnsi="Calibri" w:cs="Times New Roman"/>
                <w:lang w:val="es-VE"/>
              </w:rPr>
            </w:pPr>
          </w:p>
          <w:p w:rsidR="00100958" w:rsidRDefault="00100958" w:rsidP="00100958">
            <w:pPr>
              <w:spacing w:after="0" w:line="240" w:lineRule="auto"/>
              <w:rPr>
                <w:rFonts w:ascii="Calibri" w:eastAsia="Calibri" w:hAnsi="Calibri" w:cs="Times New Roman"/>
                <w:lang w:val="es-VE"/>
              </w:rPr>
            </w:pPr>
          </w:p>
          <w:p w:rsidR="00100958" w:rsidRDefault="00100958" w:rsidP="00100958">
            <w:pPr>
              <w:spacing w:after="0" w:line="240" w:lineRule="auto"/>
              <w:rPr>
                <w:rFonts w:ascii="Calibri" w:eastAsia="Calibri" w:hAnsi="Calibri" w:cs="Times New Roman"/>
                <w:lang w:val="es-VE"/>
              </w:rPr>
            </w:pPr>
          </w:p>
          <w:p w:rsidR="00100958" w:rsidRDefault="00100958" w:rsidP="00100958">
            <w:pPr>
              <w:spacing w:after="0" w:line="240" w:lineRule="auto"/>
              <w:rPr>
                <w:rFonts w:ascii="Calibri" w:eastAsia="Calibri" w:hAnsi="Calibri" w:cs="Times New Roman"/>
                <w:lang w:val="es-VE"/>
              </w:rPr>
            </w:pPr>
          </w:p>
          <w:p w:rsidR="00100958" w:rsidRPr="00100958" w:rsidRDefault="00100958" w:rsidP="00100958">
            <w:pPr>
              <w:spacing w:after="0" w:line="240" w:lineRule="auto"/>
              <w:rPr>
                <w:rFonts w:ascii="Calibri" w:eastAsia="Calibri" w:hAnsi="Calibri" w:cs="Times New Roman"/>
                <w:lang w:val="es-VE"/>
              </w:rPr>
            </w:pPr>
          </w:p>
          <w:p w:rsidR="00100958" w:rsidRPr="00100958" w:rsidRDefault="00100958" w:rsidP="00100958">
            <w:pPr>
              <w:spacing w:after="0" w:line="240" w:lineRule="auto"/>
              <w:rPr>
                <w:rFonts w:ascii="Calibri" w:eastAsia="Calibri" w:hAnsi="Calibri" w:cs="Times New Roman"/>
                <w:lang w:val="es-VE"/>
              </w:rPr>
            </w:pPr>
          </w:p>
        </w:tc>
        <w:tc>
          <w:tcPr>
            <w:tcW w:w="4504" w:type="dxa"/>
            <w:shd w:val="clear" w:color="auto" w:fill="auto"/>
          </w:tcPr>
          <w:p w:rsidR="00100958" w:rsidRPr="00100958" w:rsidRDefault="00100958" w:rsidP="00100958">
            <w:pPr>
              <w:spacing w:after="0" w:line="240" w:lineRule="auto"/>
              <w:rPr>
                <w:rFonts w:ascii="Cambria" w:eastAsia="Calibri" w:hAnsi="Cambria" w:cs="Times New Roman"/>
                <w:lang w:val="es-VE"/>
              </w:rPr>
            </w:pPr>
          </w:p>
        </w:tc>
      </w:tr>
    </w:tbl>
    <w:p w:rsidR="004B1ED1" w:rsidRDefault="004B1ED1" w:rsidP="004B1ED1">
      <w:pPr>
        <w:rPr>
          <w:lang w:val="es-VE"/>
        </w:rPr>
      </w:pPr>
    </w:p>
    <w:p w:rsidR="004B1ED1" w:rsidRPr="004B1ED1" w:rsidRDefault="004B1ED1" w:rsidP="00B32ADC">
      <w:pPr>
        <w:numPr>
          <w:ilvl w:val="0"/>
          <w:numId w:val="1"/>
        </w:numPr>
        <w:spacing w:after="0" w:line="240" w:lineRule="auto"/>
        <w:jc w:val="both"/>
        <w:rPr>
          <w:rFonts w:ascii="Times New Roman" w:eastAsia="Gulim" w:hAnsi="Times New Roman" w:cs="Times New Roman"/>
          <w:b/>
          <w:lang w:val="es-VE"/>
        </w:rPr>
      </w:pPr>
      <w:r w:rsidRPr="004B1ED1">
        <w:rPr>
          <w:rFonts w:ascii="Times New Roman" w:eastAsia="Gulim" w:hAnsi="Times New Roman" w:cs="Times New Roman"/>
          <w:b/>
          <w:lang w:val="es-VE"/>
        </w:rPr>
        <w:t xml:space="preserve">En el siguiente cuadro formule las interrogantes literales o inferenciales en función de la superestructura del texto (indique con la letra </w:t>
      </w:r>
      <w:r w:rsidRPr="004B1ED1">
        <w:rPr>
          <w:rFonts w:ascii="Times New Roman" w:eastAsia="Gulim" w:hAnsi="Times New Roman" w:cs="Times New Roman"/>
          <w:b/>
          <w:bCs/>
          <w:color w:val="FF0000"/>
          <w:lang w:val="es-VE"/>
        </w:rPr>
        <w:t>L</w:t>
      </w:r>
      <w:r w:rsidRPr="004B1ED1">
        <w:rPr>
          <w:rFonts w:ascii="Times New Roman" w:eastAsia="Gulim" w:hAnsi="Times New Roman" w:cs="Times New Roman"/>
          <w:b/>
          <w:lang w:val="es-VE"/>
        </w:rPr>
        <w:t xml:space="preserve"> o</w:t>
      </w:r>
      <w:r w:rsidRPr="004B1ED1">
        <w:rPr>
          <w:rFonts w:ascii="Times New Roman" w:eastAsia="Gulim" w:hAnsi="Times New Roman" w:cs="Times New Roman"/>
          <w:b/>
          <w:bCs/>
          <w:color w:val="FF0000"/>
          <w:lang w:val="es-VE"/>
        </w:rPr>
        <w:t xml:space="preserve"> I</w:t>
      </w:r>
      <w:r w:rsidRPr="004B1ED1">
        <w:rPr>
          <w:rFonts w:ascii="Times New Roman" w:eastAsia="Gulim" w:hAnsi="Times New Roman" w:cs="Times New Roman"/>
          <w:b/>
          <w:lang w:val="es-VE"/>
        </w:rPr>
        <w:t xml:space="preserve"> si la pregunta es literal o inferencial). </w:t>
      </w:r>
      <w:r w:rsidRPr="004B1ED1">
        <w:rPr>
          <w:rFonts w:ascii="Times New Roman" w:eastAsia="Gulim" w:hAnsi="Times New Roman" w:cs="Times New Roman"/>
          <w:b/>
          <w:i/>
          <w:lang w:val="es-VE"/>
        </w:rPr>
        <w:t xml:space="preserve"> </w:t>
      </w:r>
      <w:r w:rsidRPr="004B1ED1">
        <w:rPr>
          <w:rFonts w:ascii="Times New Roman" w:eastAsia="Gulim" w:hAnsi="Times New Roman" w:cs="Times New Roman"/>
          <w:b/>
          <w:lang w:val="es-VE"/>
        </w:rPr>
        <w:t>Identifique el modelo y debajo del cuadro argumente la presencia del modelo de enseñanza desarrollado utilizando los términos correspondientes a dicho modelo. Sin copiar información textual. Es tu producción</w:t>
      </w:r>
    </w:p>
    <w:p w:rsidR="004B1ED1" w:rsidRPr="004B1ED1" w:rsidRDefault="004B1ED1" w:rsidP="004B1ED1">
      <w:pPr>
        <w:spacing w:after="0" w:line="240" w:lineRule="auto"/>
        <w:jc w:val="both"/>
        <w:rPr>
          <w:rFonts w:ascii="Gulim" w:eastAsia="Gulim" w:hAnsi="Gulim" w:cs="Times New Roman"/>
          <w:highlight w:val="green"/>
          <w:lang w:val="es-V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387"/>
        <w:gridCol w:w="752"/>
      </w:tblGrid>
      <w:tr w:rsidR="004B1ED1" w:rsidRPr="004B1ED1" w:rsidTr="00B32ADC">
        <w:tc>
          <w:tcPr>
            <w:tcW w:w="1523" w:type="pct"/>
          </w:tcPr>
          <w:p w:rsidR="004B1ED1" w:rsidRPr="004B1ED1" w:rsidRDefault="004B1ED1" w:rsidP="00BC78CE">
            <w:pPr>
              <w:spacing w:after="0" w:line="240" w:lineRule="auto"/>
              <w:jc w:val="center"/>
              <w:rPr>
                <w:rFonts w:ascii="Gulim" w:eastAsia="Gulim" w:hAnsi="Gulim" w:cs="Times New Roman"/>
                <w:b/>
                <w:sz w:val="24"/>
                <w:szCs w:val="24"/>
                <w:lang w:val="es-VE"/>
              </w:rPr>
            </w:pPr>
            <w:r w:rsidRPr="004B1ED1">
              <w:rPr>
                <w:rFonts w:ascii="Gulim" w:eastAsia="Gulim" w:hAnsi="Gulim" w:cs="Times New Roman"/>
                <w:b/>
                <w:sz w:val="24"/>
                <w:szCs w:val="24"/>
                <w:lang w:val="es-VE"/>
              </w:rPr>
              <w:t xml:space="preserve">Lee el texto: </w:t>
            </w:r>
          </w:p>
        </w:tc>
        <w:tc>
          <w:tcPr>
            <w:tcW w:w="3051" w:type="pct"/>
          </w:tcPr>
          <w:p w:rsidR="004B1ED1" w:rsidRPr="004B1ED1" w:rsidRDefault="004B1ED1" w:rsidP="004B1ED1">
            <w:pPr>
              <w:spacing w:after="0" w:line="240" w:lineRule="auto"/>
              <w:contextualSpacing/>
              <w:jc w:val="center"/>
              <w:rPr>
                <w:rFonts w:ascii="Calibri" w:eastAsia="Calibri" w:hAnsi="Calibri" w:cs="Times New Roman"/>
                <w:lang w:val="es-VE"/>
              </w:rPr>
            </w:pPr>
            <w:r w:rsidRPr="004B1ED1">
              <w:rPr>
                <w:rFonts w:ascii="Gulim" w:eastAsia="Gulim" w:hAnsi="Gulim" w:cs="Times New Roman"/>
                <w:b/>
                <w:lang w:val="es-VE"/>
              </w:rPr>
              <w:t>Preguntas</w:t>
            </w:r>
          </w:p>
        </w:tc>
        <w:tc>
          <w:tcPr>
            <w:tcW w:w="426" w:type="pct"/>
          </w:tcPr>
          <w:p w:rsidR="004B1ED1" w:rsidRPr="004B1ED1" w:rsidRDefault="004B1ED1" w:rsidP="004B1ED1">
            <w:pPr>
              <w:spacing w:after="0" w:line="240" w:lineRule="auto"/>
              <w:contextualSpacing/>
              <w:jc w:val="center"/>
              <w:rPr>
                <w:rFonts w:ascii="Gulim" w:eastAsia="Gulim" w:hAnsi="Gulim" w:cs="Times New Roman"/>
                <w:b/>
                <w:lang w:val="es-VE"/>
              </w:rPr>
            </w:pPr>
            <w:r w:rsidRPr="004B1ED1">
              <w:rPr>
                <w:rFonts w:ascii="Gulim" w:eastAsia="Gulim" w:hAnsi="Gulim" w:cs="Times New Roman"/>
                <w:b/>
                <w:color w:val="FF0000"/>
                <w:lang w:val="es-VE"/>
              </w:rPr>
              <w:t xml:space="preserve">L </w:t>
            </w:r>
            <w:r w:rsidRPr="004B1ED1">
              <w:rPr>
                <w:rFonts w:ascii="Gulim" w:eastAsia="Gulim" w:hAnsi="Gulim" w:cs="Times New Roman"/>
                <w:b/>
                <w:lang w:val="es-VE"/>
              </w:rPr>
              <w:t xml:space="preserve">/ </w:t>
            </w:r>
            <w:r w:rsidRPr="004B1ED1">
              <w:rPr>
                <w:rFonts w:ascii="Gulim" w:eastAsia="Gulim" w:hAnsi="Gulim" w:cs="Times New Roman"/>
                <w:b/>
                <w:color w:val="FF0000"/>
                <w:lang w:val="es-VE"/>
              </w:rPr>
              <w:t>I</w:t>
            </w:r>
          </w:p>
        </w:tc>
      </w:tr>
      <w:tr w:rsidR="004B1ED1" w:rsidRPr="004B1ED1" w:rsidTr="00B32ADC">
        <w:trPr>
          <w:trHeight w:val="368"/>
        </w:trPr>
        <w:tc>
          <w:tcPr>
            <w:tcW w:w="1523" w:type="pct"/>
            <w:vMerge w:val="restart"/>
          </w:tcPr>
          <w:p w:rsidR="00A726D6" w:rsidRDefault="007A0BAC" w:rsidP="007A0BAC">
            <w:pPr>
              <w:spacing w:after="200" w:line="276" w:lineRule="auto"/>
              <w:jc w:val="both"/>
              <w:rPr>
                <w:rFonts w:ascii="Times New Roman" w:eastAsia="Gulim" w:hAnsi="Times New Roman" w:cs="Times New Roman"/>
                <w:sz w:val="16"/>
                <w:szCs w:val="16"/>
                <w:lang w:val="es-VE"/>
              </w:rPr>
            </w:pPr>
            <w:r w:rsidRPr="007A0BAC">
              <w:rPr>
                <w:rFonts w:ascii="Times New Roman" w:eastAsia="Gulim" w:hAnsi="Times New Roman" w:cs="Times New Roman"/>
                <w:sz w:val="16"/>
                <w:szCs w:val="16"/>
                <w:lang w:val="es-VE"/>
              </w:rPr>
              <w:t xml:space="preserve">El acceso a la educación es un factor clave para el desarrollo social y económico de una comunidad. </w:t>
            </w:r>
            <w:r w:rsidR="00A726D6" w:rsidRPr="00A726D6">
              <w:rPr>
                <w:rFonts w:ascii="Times New Roman" w:eastAsia="Gulim" w:hAnsi="Times New Roman" w:cs="Times New Roman"/>
                <w:sz w:val="16"/>
                <w:szCs w:val="16"/>
                <w:lang w:val="es-VE"/>
              </w:rPr>
              <w:t>Una población educada tiene mayores oportunidades de empleo, impulsa la innovación y contribuye al crecimiento económico sostenible</w:t>
            </w:r>
            <w:r w:rsidR="00A726D6">
              <w:rPr>
                <w:rFonts w:ascii="Times New Roman" w:eastAsia="Gulim" w:hAnsi="Times New Roman" w:cs="Times New Roman"/>
                <w:sz w:val="16"/>
                <w:szCs w:val="16"/>
                <w:lang w:val="es-VE"/>
              </w:rPr>
              <w:t>.</w:t>
            </w:r>
          </w:p>
          <w:p w:rsidR="00A726D6" w:rsidRDefault="007A0BAC" w:rsidP="007A0BAC">
            <w:pPr>
              <w:spacing w:after="200" w:line="276" w:lineRule="auto"/>
              <w:jc w:val="both"/>
              <w:rPr>
                <w:rFonts w:ascii="Times New Roman" w:eastAsia="Gulim" w:hAnsi="Times New Roman" w:cs="Times New Roman"/>
                <w:sz w:val="16"/>
                <w:szCs w:val="16"/>
                <w:lang w:val="es-VE"/>
              </w:rPr>
            </w:pPr>
            <w:r w:rsidRPr="007A0BAC">
              <w:rPr>
                <w:rFonts w:ascii="Times New Roman" w:eastAsia="Gulim" w:hAnsi="Times New Roman" w:cs="Times New Roman"/>
                <w:sz w:val="16"/>
                <w:szCs w:val="16"/>
                <w:lang w:val="es-VE"/>
              </w:rPr>
              <w:t xml:space="preserve">La educación primaria garantiza habilidades básicas como la lectura y la escritura, esenciales para la participación activa en la sociedad. </w:t>
            </w:r>
            <w:r w:rsidR="00A726D6" w:rsidRPr="00A726D6">
              <w:rPr>
                <w:rFonts w:ascii="Times New Roman" w:eastAsia="Gulim" w:hAnsi="Times New Roman" w:cs="Times New Roman"/>
                <w:sz w:val="16"/>
                <w:szCs w:val="16"/>
                <w:lang w:val="es-VE"/>
              </w:rPr>
              <w:t>Asimismo, contribuye al desarrollo personal y comunitario, promoviendo ciudadanos responsables que pueden desempeñar un papel activo en la construcción de una sociedad más equitativa y próspera.</w:t>
            </w:r>
          </w:p>
          <w:p w:rsidR="00A726D6" w:rsidRDefault="007A0BAC" w:rsidP="007A0BAC">
            <w:pPr>
              <w:spacing w:after="200" w:line="276" w:lineRule="auto"/>
              <w:jc w:val="both"/>
              <w:rPr>
                <w:rFonts w:ascii="Times New Roman" w:eastAsia="Gulim" w:hAnsi="Times New Roman" w:cs="Times New Roman"/>
                <w:sz w:val="16"/>
                <w:szCs w:val="16"/>
                <w:lang w:val="es-VE"/>
              </w:rPr>
            </w:pPr>
            <w:r w:rsidRPr="007A0BAC">
              <w:rPr>
                <w:rFonts w:ascii="Times New Roman" w:eastAsia="Gulim" w:hAnsi="Times New Roman" w:cs="Times New Roman"/>
                <w:sz w:val="16"/>
                <w:szCs w:val="16"/>
                <w:lang w:val="es-VE"/>
              </w:rPr>
              <w:t xml:space="preserve">Además, </w:t>
            </w:r>
            <w:r w:rsidR="00A726D6" w:rsidRPr="00A726D6">
              <w:rPr>
                <w:rFonts w:ascii="Times New Roman" w:eastAsia="Gulim" w:hAnsi="Times New Roman" w:cs="Times New Roman"/>
                <w:sz w:val="16"/>
                <w:szCs w:val="16"/>
                <w:lang w:val="es-VE"/>
              </w:rPr>
              <w:t xml:space="preserve">la educación secundaria y superior ofrecen oportunidades de crecimiento profesional y mejoran la calidad de vida, ya que proporcionan conocimientos especializados que permiten a los individuos acceder a mejores empleos y aumentar sus </w:t>
            </w:r>
            <w:r w:rsidR="00A726D6" w:rsidRPr="00A726D6">
              <w:rPr>
                <w:rFonts w:ascii="Times New Roman" w:eastAsia="Gulim" w:hAnsi="Times New Roman" w:cs="Times New Roman"/>
                <w:sz w:val="16"/>
                <w:szCs w:val="16"/>
                <w:lang w:val="es-VE"/>
              </w:rPr>
              <w:lastRenderedPageBreak/>
              <w:t>ingresos. También fomentan el desarrollo del pensamiento crítico, la creatividad y la capacidad de resolución de problemas, habilidades esenciales para la innovación y el progreso social.</w:t>
            </w:r>
          </w:p>
          <w:p w:rsidR="00A726D6" w:rsidRDefault="007A0BAC" w:rsidP="007A0BAC">
            <w:pPr>
              <w:spacing w:after="200" w:line="276" w:lineRule="auto"/>
              <w:jc w:val="both"/>
              <w:rPr>
                <w:rFonts w:ascii="Times New Roman" w:eastAsia="Gulim" w:hAnsi="Times New Roman" w:cs="Times New Roman"/>
                <w:sz w:val="16"/>
                <w:szCs w:val="16"/>
                <w:lang w:val="es-VE"/>
              </w:rPr>
            </w:pPr>
            <w:r w:rsidRPr="007A0BAC">
              <w:rPr>
                <w:rFonts w:ascii="Times New Roman" w:eastAsia="Gulim" w:hAnsi="Times New Roman" w:cs="Times New Roman"/>
                <w:sz w:val="16"/>
                <w:szCs w:val="16"/>
                <w:lang w:val="es-VE"/>
              </w:rPr>
              <w:t xml:space="preserve">Diversos </w:t>
            </w:r>
            <w:r w:rsidR="006734C3" w:rsidRPr="006734C3">
              <w:rPr>
                <w:rFonts w:ascii="Times New Roman" w:eastAsia="Gulim" w:hAnsi="Times New Roman" w:cs="Times New Roman"/>
                <w:sz w:val="16"/>
                <w:szCs w:val="16"/>
                <w:lang w:val="es-VE"/>
              </w:rPr>
              <w:t>estudios han demostrado que las comunidades con altos índices de educación tienen mayores niveles de desarrollo económico y menor desigualdad social, ya que la educación impulsa el acceso a empleos mejor remunerados, fomenta el emprendimiento y fortalece la innovación en distintos sectores productivos.</w:t>
            </w:r>
          </w:p>
          <w:p w:rsidR="004B1ED1" w:rsidRPr="004B1ED1" w:rsidRDefault="00C361EA" w:rsidP="007A0BAC">
            <w:pPr>
              <w:spacing w:after="200" w:line="276" w:lineRule="auto"/>
              <w:jc w:val="both"/>
              <w:rPr>
                <w:rFonts w:ascii="Times New Roman" w:eastAsia="Gulim" w:hAnsi="Times New Roman" w:cs="Times New Roman"/>
                <w:sz w:val="16"/>
                <w:szCs w:val="16"/>
                <w:lang w:val="es-VE"/>
              </w:rPr>
            </w:pPr>
            <w:r w:rsidRPr="00C361EA">
              <w:rPr>
                <w:rFonts w:ascii="Times New Roman" w:eastAsia="Gulim" w:hAnsi="Times New Roman" w:cs="Times New Roman"/>
                <w:sz w:val="16"/>
                <w:szCs w:val="16"/>
                <w:lang w:val="es-VE"/>
              </w:rPr>
              <w:t>Invertir en educación es una estrategia fundamental para el progreso sostenible de cualquier país, ya que proporciona a los ciudadanos las herramientas necesarias para mejorar su calidad de vida, acceder a mejores oportunidades laborales y contribuir activamente al desarrollo social y económico.</w:t>
            </w:r>
          </w:p>
        </w:tc>
        <w:tc>
          <w:tcPr>
            <w:tcW w:w="3051" w:type="pct"/>
          </w:tcPr>
          <w:p w:rsidR="004B1ED1" w:rsidRPr="004B1ED1" w:rsidRDefault="004B1ED1" w:rsidP="004B1ED1">
            <w:pPr>
              <w:spacing w:after="0" w:line="240" w:lineRule="auto"/>
              <w:contextualSpacing/>
              <w:jc w:val="center"/>
              <w:rPr>
                <w:rFonts w:ascii="Gulim" w:eastAsia="Gulim" w:hAnsi="Gulim" w:cs="Times New Roman"/>
                <w:b/>
                <w:lang w:val="es-VE"/>
              </w:rPr>
            </w:pPr>
            <w:r w:rsidRPr="004B1ED1">
              <w:rPr>
                <w:rFonts w:ascii="Gulim" w:eastAsia="Gulim" w:hAnsi="Gulim" w:cs="Times New Roman"/>
                <w:b/>
                <w:lang w:val="es-VE"/>
              </w:rPr>
              <w:lastRenderedPageBreak/>
              <w:t>Tesis</w:t>
            </w:r>
          </w:p>
        </w:tc>
        <w:tc>
          <w:tcPr>
            <w:tcW w:w="426" w:type="pct"/>
            <w:tcBorders>
              <w:bottom w:val="single" w:sz="4" w:space="0" w:color="auto"/>
            </w:tcBorders>
          </w:tcPr>
          <w:p w:rsidR="004B1ED1" w:rsidRPr="004B1ED1" w:rsidRDefault="004B1ED1" w:rsidP="004B1ED1">
            <w:pPr>
              <w:spacing w:after="0" w:line="240" w:lineRule="auto"/>
              <w:contextualSpacing/>
              <w:rPr>
                <w:rFonts w:ascii="Gulim" w:eastAsia="Gulim" w:hAnsi="Gulim" w:cs="Times New Roman"/>
                <w:b/>
                <w:lang w:val="es-VE"/>
              </w:rPr>
            </w:pPr>
          </w:p>
        </w:tc>
      </w:tr>
      <w:tr w:rsidR="004B1ED1" w:rsidRPr="004B1ED1" w:rsidTr="00B32ADC">
        <w:trPr>
          <w:trHeight w:val="1570"/>
        </w:trPr>
        <w:tc>
          <w:tcPr>
            <w:tcW w:w="1523" w:type="pct"/>
            <w:vMerge/>
          </w:tcPr>
          <w:p w:rsidR="004B1ED1" w:rsidRPr="004B1ED1" w:rsidRDefault="004B1ED1" w:rsidP="004B1ED1">
            <w:pPr>
              <w:spacing w:after="0" w:line="240" w:lineRule="auto"/>
              <w:jc w:val="both"/>
              <w:rPr>
                <w:rFonts w:ascii="Gulim" w:eastAsia="Gulim" w:hAnsi="Gulim" w:cs="Times New Roman"/>
                <w:lang w:val="es-VE"/>
              </w:rPr>
            </w:pPr>
          </w:p>
        </w:tc>
        <w:tc>
          <w:tcPr>
            <w:tcW w:w="3051" w:type="pct"/>
            <w:tcBorders>
              <w:bottom w:val="single" w:sz="4" w:space="0" w:color="auto"/>
            </w:tcBorders>
          </w:tcPr>
          <w:p w:rsidR="004B1ED1" w:rsidRPr="004B1ED1" w:rsidRDefault="004B1ED1" w:rsidP="004B1ED1">
            <w:pPr>
              <w:spacing w:after="0" w:line="240" w:lineRule="auto"/>
              <w:contextualSpacing/>
              <w:rPr>
                <w:rFonts w:ascii="Gulim" w:eastAsia="Gulim" w:hAnsi="Gulim" w:cs="Times New Roman"/>
                <w:b/>
                <w:lang w:val="es-VE"/>
              </w:rPr>
            </w:pPr>
          </w:p>
        </w:tc>
        <w:tc>
          <w:tcPr>
            <w:tcW w:w="426" w:type="pct"/>
            <w:tcBorders>
              <w:bottom w:val="single" w:sz="4" w:space="0" w:color="auto"/>
            </w:tcBorders>
          </w:tcPr>
          <w:p w:rsidR="004B1ED1" w:rsidRPr="004B1ED1" w:rsidRDefault="004B1ED1" w:rsidP="004B1ED1">
            <w:pPr>
              <w:spacing w:after="0" w:line="240" w:lineRule="auto"/>
              <w:rPr>
                <w:rFonts w:ascii="Calibri" w:eastAsia="Calibri" w:hAnsi="Calibri" w:cs="Times New Roman"/>
                <w:lang w:val="es-VE"/>
              </w:rPr>
            </w:pPr>
          </w:p>
        </w:tc>
      </w:tr>
      <w:tr w:rsidR="004B1ED1" w:rsidRPr="004B1ED1" w:rsidTr="00B32ADC">
        <w:trPr>
          <w:trHeight w:val="474"/>
        </w:trPr>
        <w:tc>
          <w:tcPr>
            <w:tcW w:w="1523" w:type="pct"/>
            <w:vMerge/>
          </w:tcPr>
          <w:p w:rsidR="004B1ED1" w:rsidRPr="004B1ED1" w:rsidRDefault="004B1ED1" w:rsidP="004B1ED1">
            <w:pPr>
              <w:spacing w:after="0" w:line="240" w:lineRule="auto"/>
              <w:contextualSpacing/>
              <w:rPr>
                <w:rFonts w:ascii="Gulim" w:eastAsia="Gulim" w:hAnsi="Gulim" w:cs="Times New Roman"/>
                <w:lang w:val="es-VE"/>
              </w:rPr>
            </w:pPr>
          </w:p>
        </w:tc>
        <w:tc>
          <w:tcPr>
            <w:tcW w:w="3051" w:type="pct"/>
            <w:tcBorders>
              <w:top w:val="single" w:sz="4" w:space="0" w:color="auto"/>
              <w:bottom w:val="single" w:sz="4" w:space="0" w:color="auto"/>
            </w:tcBorders>
          </w:tcPr>
          <w:p w:rsidR="004B1ED1" w:rsidRPr="004B1ED1" w:rsidRDefault="004B1ED1" w:rsidP="004B1ED1">
            <w:pPr>
              <w:spacing w:after="0" w:line="240" w:lineRule="auto"/>
              <w:contextualSpacing/>
              <w:jc w:val="center"/>
              <w:rPr>
                <w:rFonts w:ascii="Gulim" w:eastAsia="Gulim" w:hAnsi="Gulim" w:cs="Times New Roman"/>
                <w:b/>
                <w:lang w:val="es-VE"/>
              </w:rPr>
            </w:pPr>
            <w:r w:rsidRPr="004B1ED1">
              <w:rPr>
                <w:rFonts w:ascii="Gulim" w:eastAsia="Gulim" w:hAnsi="Gulim" w:cs="Times New Roman"/>
                <w:b/>
                <w:lang w:val="es-VE"/>
              </w:rPr>
              <w:t>Argumentos</w:t>
            </w:r>
          </w:p>
        </w:tc>
        <w:tc>
          <w:tcPr>
            <w:tcW w:w="426" w:type="pct"/>
            <w:tcBorders>
              <w:top w:val="single" w:sz="4" w:space="0" w:color="auto"/>
            </w:tcBorders>
          </w:tcPr>
          <w:p w:rsidR="004B1ED1" w:rsidRPr="004B1ED1" w:rsidRDefault="004B1ED1" w:rsidP="004B1ED1">
            <w:pPr>
              <w:spacing w:after="0" w:line="240" w:lineRule="auto"/>
              <w:contextualSpacing/>
              <w:rPr>
                <w:rFonts w:ascii="Gulim" w:eastAsia="Gulim" w:hAnsi="Gulim" w:cs="Times New Roman"/>
                <w:b/>
                <w:lang w:val="es-VE"/>
              </w:rPr>
            </w:pPr>
          </w:p>
        </w:tc>
      </w:tr>
      <w:tr w:rsidR="004B1ED1" w:rsidRPr="004B1ED1" w:rsidTr="00B32ADC">
        <w:trPr>
          <w:trHeight w:val="1436"/>
        </w:trPr>
        <w:tc>
          <w:tcPr>
            <w:tcW w:w="1523" w:type="pct"/>
            <w:vMerge/>
          </w:tcPr>
          <w:p w:rsidR="004B1ED1" w:rsidRPr="004B1ED1" w:rsidRDefault="004B1ED1" w:rsidP="004B1ED1">
            <w:pPr>
              <w:spacing w:after="0" w:line="240" w:lineRule="auto"/>
              <w:contextualSpacing/>
              <w:rPr>
                <w:rFonts w:ascii="Gulim" w:eastAsia="Gulim" w:hAnsi="Gulim" w:cs="Times New Roman"/>
                <w:lang w:val="es-VE"/>
              </w:rPr>
            </w:pPr>
          </w:p>
        </w:tc>
        <w:tc>
          <w:tcPr>
            <w:tcW w:w="3051" w:type="pct"/>
            <w:tcBorders>
              <w:top w:val="single" w:sz="4" w:space="0" w:color="auto"/>
            </w:tcBorders>
          </w:tcPr>
          <w:p w:rsidR="004B1ED1" w:rsidRPr="004B1ED1" w:rsidRDefault="004B1ED1" w:rsidP="004B1ED1">
            <w:pPr>
              <w:spacing w:after="0" w:line="240" w:lineRule="auto"/>
              <w:contextualSpacing/>
              <w:rPr>
                <w:rFonts w:ascii="Gulim" w:eastAsia="Gulim" w:hAnsi="Gulim" w:cs="Times New Roman"/>
                <w:b/>
                <w:lang w:val="es-VE"/>
              </w:rPr>
            </w:pPr>
          </w:p>
          <w:p w:rsidR="004B1ED1" w:rsidRPr="004B1ED1" w:rsidRDefault="004B1ED1" w:rsidP="004B1ED1">
            <w:pPr>
              <w:spacing w:after="0" w:line="240" w:lineRule="auto"/>
              <w:contextualSpacing/>
              <w:rPr>
                <w:rFonts w:ascii="Gulim" w:eastAsia="Gulim" w:hAnsi="Gulim" w:cs="Times New Roman"/>
                <w:b/>
                <w:lang w:val="es-VE"/>
              </w:rPr>
            </w:pPr>
          </w:p>
          <w:p w:rsidR="004B1ED1" w:rsidRPr="004B1ED1" w:rsidRDefault="004B1ED1" w:rsidP="004B1ED1">
            <w:pPr>
              <w:spacing w:after="0" w:line="240" w:lineRule="auto"/>
              <w:contextualSpacing/>
              <w:rPr>
                <w:rFonts w:ascii="Gulim" w:eastAsia="Gulim" w:hAnsi="Gulim" w:cs="Times New Roman"/>
                <w:b/>
                <w:lang w:val="es-VE"/>
              </w:rPr>
            </w:pPr>
          </w:p>
          <w:p w:rsidR="004B1ED1" w:rsidRPr="004B1ED1" w:rsidRDefault="004B1ED1" w:rsidP="004B1ED1">
            <w:pPr>
              <w:spacing w:after="0" w:line="240" w:lineRule="auto"/>
              <w:contextualSpacing/>
              <w:rPr>
                <w:rFonts w:ascii="Gulim" w:eastAsia="Gulim" w:hAnsi="Gulim" w:cs="Times New Roman"/>
                <w:b/>
                <w:lang w:val="es-VE"/>
              </w:rPr>
            </w:pPr>
          </w:p>
        </w:tc>
        <w:tc>
          <w:tcPr>
            <w:tcW w:w="426" w:type="pct"/>
          </w:tcPr>
          <w:p w:rsidR="004B1ED1" w:rsidRPr="004B1ED1" w:rsidRDefault="004B1ED1" w:rsidP="004B1ED1">
            <w:pPr>
              <w:spacing w:after="0" w:line="240" w:lineRule="auto"/>
              <w:rPr>
                <w:rFonts w:ascii="Calibri" w:eastAsia="Calibri" w:hAnsi="Calibri" w:cs="Times New Roman"/>
                <w:lang w:val="es-VE"/>
              </w:rPr>
            </w:pPr>
          </w:p>
        </w:tc>
      </w:tr>
      <w:tr w:rsidR="004B1ED1" w:rsidRPr="004B1ED1" w:rsidTr="00B32ADC">
        <w:trPr>
          <w:trHeight w:val="328"/>
        </w:trPr>
        <w:tc>
          <w:tcPr>
            <w:tcW w:w="1523" w:type="pct"/>
            <w:vMerge/>
          </w:tcPr>
          <w:p w:rsidR="004B1ED1" w:rsidRPr="004B1ED1" w:rsidRDefault="004B1ED1" w:rsidP="004B1ED1">
            <w:pPr>
              <w:spacing w:after="0" w:line="240" w:lineRule="auto"/>
              <w:contextualSpacing/>
              <w:rPr>
                <w:rFonts w:ascii="Gulim" w:eastAsia="Gulim" w:hAnsi="Gulim" w:cs="Times New Roman"/>
                <w:lang w:val="es-VE"/>
              </w:rPr>
            </w:pPr>
          </w:p>
        </w:tc>
        <w:tc>
          <w:tcPr>
            <w:tcW w:w="3051" w:type="pct"/>
            <w:tcBorders>
              <w:top w:val="single" w:sz="4" w:space="0" w:color="auto"/>
            </w:tcBorders>
          </w:tcPr>
          <w:p w:rsidR="004B1ED1" w:rsidRPr="004B1ED1" w:rsidRDefault="004B1ED1" w:rsidP="004B1ED1">
            <w:pPr>
              <w:spacing w:after="0" w:line="240" w:lineRule="auto"/>
              <w:contextualSpacing/>
              <w:jc w:val="center"/>
              <w:rPr>
                <w:rFonts w:ascii="Gulim" w:eastAsia="Gulim" w:hAnsi="Gulim" w:cs="Times New Roman"/>
                <w:b/>
                <w:lang w:val="es-VE"/>
              </w:rPr>
            </w:pPr>
            <w:r w:rsidRPr="004B1ED1">
              <w:rPr>
                <w:rFonts w:ascii="Gulim" w:eastAsia="Gulim" w:hAnsi="Gulim" w:cs="Times New Roman"/>
                <w:b/>
                <w:lang w:val="es-VE"/>
              </w:rPr>
              <w:t>Conclusión</w:t>
            </w:r>
          </w:p>
        </w:tc>
        <w:tc>
          <w:tcPr>
            <w:tcW w:w="426" w:type="pct"/>
            <w:tcBorders>
              <w:top w:val="single" w:sz="4" w:space="0" w:color="auto"/>
              <w:bottom w:val="single" w:sz="4" w:space="0" w:color="auto"/>
            </w:tcBorders>
          </w:tcPr>
          <w:p w:rsidR="004B1ED1" w:rsidRPr="004B1ED1" w:rsidRDefault="004B1ED1" w:rsidP="004B1ED1">
            <w:pPr>
              <w:spacing w:after="0" w:line="240" w:lineRule="auto"/>
              <w:contextualSpacing/>
              <w:rPr>
                <w:rFonts w:ascii="Gulim" w:eastAsia="Gulim" w:hAnsi="Gulim" w:cs="Times New Roman"/>
                <w:b/>
                <w:lang w:val="es-VE"/>
              </w:rPr>
            </w:pPr>
          </w:p>
        </w:tc>
      </w:tr>
      <w:tr w:rsidR="004B1ED1" w:rsidRPr="004B1ED1" w:rsidTr="00B32ADC">
        <w:trPr>
          <w:trHeight w:val="481"/>
        </w:trPr>
        <w:tc>
          <w:tcPr>
            <w:tcW w:w="1523" w:type="pct"/>
            <w:vMerge/>
          </w:tcPr>
          <w:p w:rsidR="004B1ED1" w:rsidRPr="004B1ED1" w:rsidRDefault="004B1ED1" w:rsidP="004B1ED1">
            <w:pPr>
              <w:spacing w:after="0" w:line="240" w:lineRule="auto"/>
              <w:contextualSpacing/>
              <w:rPr>
                <w:rFonts w:ascii="Gulim" w:eastAsia="Gulim" w:hAnsi="Gulim" w:cs="Times New Roman"/>
                <w:lang w:val="es-VE"/>
              </w:rPr>
            </w:pPr>
          </w:p>
        </w:tc>
        <w:tc>
          <w:tcPr>
            <w:tcW w:w="3051" w:type="pct"/>
          </w:tcPr>
          <w:p w:rsidR="004B1ED1" w:rsidRPr="004B1ED1" w:rsidRDefault="004B1ED1" w:rsidP="004B1ED1">
            <w:pPr>
              <w:spacing w:after="0" w:line="240" w:lineRule="auto"/>
              <w:contextualSpacing/>
              <w:rPr>
                <w:rFonts w:ascii="Gulim" w:eastAsia="Gulim" w:hAnsi="Gulim" w:cs="Times New Roman"/>
                <w:b/>
                <w:lang w:val="es-VE"/>
              </w:rPr>
            </w:pPr>
          </w:p>
          <w:p w:rsidR="004B1ED1" w:rsidRPr="004B1ED1" w:rsidRDefault="004B1ED1" w:rsidP="004B1ED1">
            <w:pPr>
              <w:spacing w:after="0" w:line="240" w:lineRule="auto"/>
              <w:contextualSpacing/>
              <w:rPr>
                <w:rFonts w:ascii="Gulim" w:eastAsia="Gulim" w:hAnsi="Gulim" w:cs="Times New Roman"/>
                <w:b/>
                <w:lang w:val="es-VE"/>
              </w:rPr>
            </w:pPr>
          </w:p>
        </w:tc>
        <w:tc>
          <w:tcPr>
            <w:tcW w:w="426" w:type="pct"/>
            <w:tcBorders>
              <w:top w:val="single" w:sz="4" w:space="0" w:color="auto"/>
            </w:tcBorders>
          </w:tcPr>
          <w:p w:rsidR="004B1ED1" w:rsidRPr="004B1ED1" w:rsidRDefault="004B1ED1" w:rsidP="004B1ED1">
            <w:pPr>
              <w:spacing w:after="0" w:line="240" w:lineRule="auto"/>
              <w:contextualSpacing/>
              <w:rPr>
                <w:rFonts w:ascii="Gulim" w:eastAsia="Gulim" w:hAnsi="Gulim" w:cs="Times New Roman"/>
                <w:b/>
                <w:lang w:val="es-VE"/>
              </w:rPr>
            </w:pPr>
          </w:p>
        </w:tc>
      </w:tr>
    </w:tbl>
    <w:p w:rsidR="004B1ED1" w:rsidRDefault="004B1ED1" w:rsidP="004B1ED1">
      <w:pPr>
        <w:spacing w:after="0" w:line="240" w:lineRule="auto"/>
        <w:contextualSpacing/>
        <w:rPr>
          <w:rFonts w:ascii="Gulim" w:eastAsia="Gulim" w:hAnsi="Gulim" w:cs="Times New Roman"/>
          <w:lang w:val="es-VE"/>
        </w:rPr>
      </w:pPr>
      <w:r w:rsidRPr="004B1ED1">
        <w:rPr>
          <w:rFonts w:ascii="Gulim" w:eastAsia="Gulim" w:hAnsi="Gulim" w:cs="Times New Roman"/>
          <w:lang w:val="es-VE"/>
        </w:rPr>
        <w:lastRenderedPageBreak/>
        <w:t xml:space="preserve">¿Cuál es el modelo de enseñanza de la lectura? </w:t>
      </w:r>
    </w:p>
    <w:p w:rsidR="00BC78CE" w:rsidRDefault="00BC78CE" w:rsidP="004B1ED1">
      <w:pPr>
        <w:spacing w:after="0" w:line="240" w:lineRule="auto"/>
        <w:contextualSpacing/>
        <w:rPr>
          <w:rFonts w:ascii="Gulim" w:eastAsia="Gulim" w:hAnsi="Gulim" w:cs="Times New Roman"/>
          <w:lang w:val="es-VE"/>
        </w:rPr>
      </w:pPr>
    </w:p>
    <w:p w:rsidR="00BC78CE" w:rsidRDefault="00BC78CE" w:rsidP="004B1ED1">
      <w:pPr>
        <w:spacing w:after="0" w:line="240" w:lineRule="auto"/>
        <w:contextualSpacing/>
        <w:rPr>
          <w:rFonts w:ascii="Gulim" w:eastAsia="Gulim" w:hAnsi="Gulim" w:cs="Times New Roman"/>
          <w:lang w:val="es-VE"/>
        </w:rPr>
      </w:pPr>
    </w:p>
    <w:p w:rsidR="00BC78CE" w:rsidRDefault="00BC78CE" w:rsidP="004B1ED1">
      <w:pPr>
        <w:spacing w:after="0" w:line="240" w:lineRule="auto"/>
        <w:contextualSpacing/>
        <w:rPr>
          <w:rFonts w:ascii="Gulim" w:eastAsia="Gulim" w:hAnsi="Gulim" w:cs="Times New Roman"/>
          <w:lang w:val="es-VE"/>
        </w:rPr>
      </w:pPr>
    </w:p>
    <w:p w:rsidR="00BC78CE" w:rsidRPr="004B1ED1" w:rsidRDefault="00BC78CE" w:rsidP="004B1ED1">
      <w:pPr>
        <w:spacing w:after="0" w:line="240" w:lineRule="auto"/>
        <w:contextualSpacing/>
        <w:rPr>
          <w:rFonts w:ascii="Gulim" w:eastAsia="Gulim" w:hAnsi="Gulim" w:cs="Times New Roman"/>
          <w:lang w:val="es-VE"/>
        </w:rPr>
      </w:pPr>
    </w:p>
    <w:p w:rsidR="004B1ED1" w:rsidRPr="004B1ED1" w:rsidRDefault="004B1ED1" w:rsidP="004B1ED1">
      <w:pPr>
        <w:spacing w:after="200" w:line="276" w:lineRule="auto"/>
        <w:contextualSpacing/>
        <w:jc w:val="both"/>
        <w:rPr>
          <w:rFonts w:ascii="Gulim" w:eastAsia="Gulim" w:hAnsi="Gulim" w:cs="Times New Roman"/>
          <w:lang w:val="es-ES_tradnl"/>
        </w:rPr>
      </w:pPr>
      <w:r w:rsidRPr="004B1ED1">
        <w:rPr>
          <w:rFonts w:ascii="Gulim" w:eastAsia="Gulim" w:hAnsi="Gulim" w:cs="Times New Roman"/>
          <w:lang w:val="es-VE"/>
        </w:rPr>
        <w:t xml:space="preserve"> </w:t>
      </w:r>
      <w:r w:rsidRPr="004B1ED1">
        <w:rPr>
          <w:rFonts w:ascii="Gulim" w:eastAsia="Gulim" w:hAnsi="Gulim" w:cs="Times New Roman"/>
          <w:lang w:val="es-ES_tradnl"/>
        </w:rPr>
        <w:t xml:space="preserve">Argumenta por qué es desarrollado el modelo que mencionaste: </w:t>
      </w:r>
    </w:p>
    <w:p w:rsidR="00281164" w:rsidRDefault="00281164" w:rsidP="004B1ED1">
      <w:pPr>
        <w:rPr>
          <w:lang w:val="es-ES_tradnl"/>
        </w:rPr>
      </w:pPr>
    </w:p>
    <w:p w:rsidR="00281164" w:rsidRDefault="00281164" w:rsidP="00281164">
      <w:pPr>
        <w:rPr>
          <w:lang w:val="es-ES_tradnl"/>
        </w:rPr>
      </w:pPr>
    </w:p>
    <w:p w:rsidR="00281164" w:rsidRDefault="00281164" w:rsidP="00281164">
      <w:pPr>
        <w:rPr>
          <w:lang w:val="es-ES_tradnl"/>
        </w:rPr>
      </w:pPr>
    </w:p>
    <w:p w:rsidR="00281164" w:rsidRDefault="00281164" w:rsidP="00281164">
      <w:pPr>
        <w:rPr>
          <w:lang w:val="es-ES_tradnl"/>
        </w:rPr>
      </w:pPr>
    </w:p>
    <w:p w:rsidR="00281164" w:rsidRDefault="00281164" w:rsidP="00281164">
      <w:pPr>
        <w:rPr>
          <w:lang w:val="es-ES_tradnl"/>
        </w:rPr>
      </w:pPr>
    </w:p>
    <w:p w:rsidR="00281164" w:rsidRDefault="00281164" w:rsidP="00281164">
      <w:pPr>
        <w:rPr>
          <w:lang w:val="es-ES_tradnl"/>
        </w:rPr>
      </w:pPr>
    </w:p>
    <w:p w:rsidR="00281164" w:rsidRDefault="00281164" w:rsidP="00281164">
      <w:pPr>
        <w:rPr>
          <w:lang w:val="es-ES_tradnl"/>
        </w:rPr>
      </w:pPr>
    </w:p>
    <w:p w:rsidR="00281164" w:rsidRDefault="00281164" w:rsidP="00281164">
      <w:pPr>
        <w:rPr>
          <w:lang w:val="es-ES_tradnl"/>
        </w:rPr>
      </w:pPr>
    </w:p>
    <w:p w:rsidR="00281164" w:rsidRPr="00281164" w:rsidRDefault="00281164" w:rsidP="00281164">
      <w:pPr>
        <w:rPr>
          <w:lang w:val="es-ES_tradnl"/>
        </w:rPr>
      </w:pPr>
    </w:p>
    <w:p w:rsidR="00281164" w:rsidRDefault="00281164" w:rsidP="00281164">
      <w:pPr>
        <w:rPr>
          <w:lang w:val="es-ES_tradnl"/>
        </w:rPr>
      </w:pPr>
    </w:p>
    <w:p w:rsidR="00281164" w:rsidRPr="00281164" w:rsidRDefault="00281164" w:rsidP="00281164">
      <w:pPr>
        <w:numPr>
          <w:ilvl w:val="0"/>
          <w:numId w:val="1"/>
        </w:numPr>
        <w:spacing w:after="0" w:line="240" w:lineRule="auto"/>
        <w:rPr>
          <w:rFonts w:ascii="Calibri" w:eastAsia="Calibri" w:hAnsi="Calibri" w:cs="Times New Roman"/>
          <w:b/>
          <w:sz w:val="20"/>
          <w:szCs w:val="20"/>
          <w:lang w:val="es-VE"/>
        </w:rPr>
      </w:pPr>
      <w:r w:rsidRPr="00281164">
        <w:rPr>
          <w:rFonts w:ascii="Gulim" w:eastAsia="Gulim" w:hAnsi="Gulim" w:cs="Times New Roman"/>
          <w:b/>
          <w:lang w:val="es-VE"/>
        </w:rPr>
        <w:lastRenderedPageBreak/>
        <w:t xml:space="preserve">0btén la </w:t>
      </w:r>
      <w:proofErr w:type="spellStart"/>
      <w:r w:rsidRPr="00281164">
        <w:rPr>
          <w:rFonts w:ascii="Gulim" w:eastAsia="Gulim" w:hAnsi="Gulim" w:cs="Times New Roman"/>
          <w:b/>
          <w:lang w:val="es-VE"/>
        </w:rPr>
        <w:t>macroestructura</w:t>
      </w:r>
      <w:proofErr w:type="spellEnd"/>
      <w:r w:rsidRPr="00281164">
        <w:rPr>
          <w:rFonts w:ascii="Gulim" w:eastAsia="Gulim" w:hAnsi="Gulim" w:cs="Times New Roman"/>
          <w:b/>
          <w:lang w:val="es-VE"/>
        </w:rPr>
        <w:t xml:space="preserve"> del texto dado en el cuadro anterior (debes dejar arriba las evidencias del subrayado porque indica la estrategia de selección y supresión). </w:t>
      </w:r>
      <w:r w:rsidRPr="00281164">
        <w:rPr>
          <w:rFonts w:ascii="Gulim" w:eastAsia="Gulim" w:hAnsi="Gulim" w:cs="Times New Roman"/>
          <w:b/>
          <w:bCs/>
          <w:lang w:val="es-VE"/>
        </w:rPr>
        <w:t>Debajo del cuadro explica el modelo dado, utilizando los términos técnicos sin copiar información textual.</w:t>
      </w:r>
      <w:r w:rsidRPr="00281164">
        <w:rPr>
          <w:rFonts w:ascii="Gulim" w:eastAsia="Gulim" w:hAnsi="Gulim" w:cs="Times New Roman"/>
          <w:b/>
          <w:bCs/>
          <w:i/>
          <w:lang w:val="es-VE"/>
        </w:rPr>
        <w:t xml:space="preserve"> Es tu</w:t>
      </w:r>
      <w:r w:rsidRPr="00281164">
        <w:rPr>
          <w:rFonts w:ascii="Gulim" w:eastAsia="Gulim" w:hAnsi="Gulim" w:cs="Times New Roman"/>
          <w:b/>
          <w:i/>
          <w:lang w:val="es-VE"/>
        </w:rPr>
        <w:t xml:space="preserve"> producción</w:t>
      </w:r>
    </w:p>
    <w:p w:rsidR="00281164" w:rsidRPr="00281164" w:rsidRDefault="00281164" w:rsidP="00281164">
      <w:pPr>
        <w:spacing w:after="0" w:line="240" w:lineRule="auto"/>
        <w:rPr>
          <w:rFonts w:ascii="Calibri" w:eastAsia="Calibri" w:hAnsi="Calibri" w:cs="Times New Roman"/>
          <w:lang w:val="es-VE"/>
        </w:rPr>
      </w:pPr>
    </w:p>
    <w:tbl>
      <w:tblPr>
        <w:tblW w:w="5008" w:type="pct"/>
        <w:tblCellMar>
          <w:left w:w="0" w:type="dxa"/>
          <w:right w:w="0" w:type="dxa"/>
        </w:tblCellMar>
        <w:tblLook w:val="04A0" w:firstRow="1" w:lastRow="0" w:firstColumn="1" w:lastColumn="0" w:noHBand="0" w:noVBand="1"/>
      </w:tblPr>
      <w:tblGrid>
        <w:gridCol w:w="2939"/>
        <w:gridCol w:w="2939"/>
        <w:gridCol w:w="2938"/>
        <w:gridCol w:w="16"/>
      </w:tblGrid>
      <w:tr w:rsidR="00281164" w:rsidRPr="00281164" w:rsidTr="00EA2429">
        <w:trPr>
          <w:gridAfter w:val="1"/>
          <w:wAfter w:w="9" w:type="pct"/>
          <w:trHeight w:val="643"/>
        </w:trPr>
        <w:tc>
          <w:tcPr>
            <w:tcW w:w="1664" w:type="pct"/>
            <w:tcBorders>
              <w:top w:val="single" w:sz="8" w:space="0" w:color="374C81"/>
              <w:left w:val="single" w:sz="8" w:space="0" w:color="374C81"/>
              <w:bottom w:val="single" w:sz="8" w:space="0" w:color="374C81"/>
              <w:right w:val="single" w:sz="8" w:space="0" w:color="374C81"/>
            </w:tcBorders>
            <w:shd w:val="clear" w:color="auto" w:fill="auto"/>
            <w:tcMar>
              <w:top w:w="72" w:type="dxa"/>
              <w:left w:w="144" w:type="dxa"/>
              <w:bottom w:w="72" w:type="dxa"/>
              <w:right w:w="144" w:type="dxa"/>
            </w:tcMar>
            <w:hideMark/>
          </w:tcPr>
          <w:p w:rsidR="00281164" w:rsidRPr="00281164" w:rsidRDefault="00281164" w:rsidP="00281164">
            <w:pPr>
              <w:spacing w:after="0" w:line="240" w:lineRule="auto"/>
              <w:jc w:val="center"/>
              <w:rPr>
                <w:rFonts w:ascii="Gulim" w:eastAsia="Gulim" w:hAnsi="Gulim" w:cs="Times New Roman"/>
                <w:lang w:val="es-ES"/>
              </w:rPr>
            </w:pPr>
          </w:p>
          <w:p w:rsidR="00281164" w:rsidRPr="00281164" w:rsidRDefault="00281164" w:rsidP="00281164">
            <w:pPr>
              <w:spacing w:after="0" w:line="240" w:lineRule="auto"/>
              <w:jc w:val="center"/>
              <w:rPr>
                <w:rFonts w:ascii="Gulim" w:eastAsia="Gulim" w:hAnsi="Gulim" w:cs="Times New Roman"/>
                <w:lang w:val="es-VE"/>
              </w:rPr>
            </w:pPr>
            <w:proofErr w:type="spellStart"/>
            <w:r w:rsidRPr="00281164">
              <w:rPr>
                <w:rFonts w:ascii="Gulim" w:eastAsia="Gulim" w:hAnsi="Gulim" w:cs="Times New Roman"/>
                <w:b/>
                <w:lang w:val="es-ES"/>
              </w:rPr>
              <w:t>Macroproposiciones</w:t>
            </w:r>
            <w:proofErr w:type="spellEnd"/>
          </w:p>
          <w:p w:rsidR="00281164" w:rsidRPr="00281164" w:rsidRDefault="00281164" w:rsidP="00281164">
            <w:pPr>
              <w:spacing w:after="0" w:line="240" w:lineRule="auto"/>
              <w:ind w:firstLine="709"/>
              <w:rPr>
                <w:rFonts w:ascii="Gulim" w:eastAsia="Gulim" w:hAnsi="Gulim" w:cs="Times New Roman"/>
                <w:lang w:val="es-VE"/>
              </w:rPr>
            </w:pPr>
            <w:r w:rsidRPr="00281164">
              <w:rPr>
                <w:rFonts w:ascii="Gulim" w:eastAsia="Gulim" w:hAnsi="Gulim" w:cs="Times New Roman"/>
                <w:lang w:val="es-ES"/>
              </w:rPr>
              <w:t xml:space="preserve"> (Supresión y selección)</w:t>
            </w:r>
          </w:p>
        </w:tc>
        <w:tc>
          <w:tcPr>
            <w:tcW w:w="1664" w:type="pct"/>
            <w:tcBorders>
              <w:top w:val="single" w:sz="8" w:space="0" w:color="374C81"/>
              <w:left w:val="single" w:sz="8" w:space="0" w:color="374C81"/>
              <w:bottom w:val="single" w:sz="8" w:space="0" w:color="374C81"/>
              <w:right w:val="single" w:sz="8" w:space="0" w:color="374C81"/>
            </w:tcBorders>
            <w:shd w:val="clear" w:color="auto" w:fill="auto"/>
            <w:tcMar>
              <w:top w:w="72" w:type="dxa"/>
              <w:left w:w="144" w:type="dxa"/>
              <w:bottom w:w="72" w:type="dxa"/>
              <w:right w:w="144" w:type="dxa"/>
            </w:tcMar>
            <w:hideMark/>
          </w:tcPr>
          <w:p w:rsidR="00281164" w:rsidRPr="00281164" w:rsidRDefault="00281164" w:rsidP="00281164">
            <w:pPr>
              <w:spacing w:after="0" w:line="240" w:lineRule="auto"/>
              <w:jc w:val="center"/>
              <w:rPr>
                <w:rFonts w:ascii="Gulim" w:eastAsia="Gulim" w:hAnsi="Gulim" w:cs="Times New Roman"/>
                <w:lang w:val="es-ES"/>
              </w:rPr>
            </w:pPr>
            <w:r w:rsidRPr="00281164">
              <w:rPr>
                <w:rFonts w:ascii="Gulim" w:eastAsia="Gulim" w:hAnsi="Gulim" w:cs="Times New Roman"/>
                <w:b/>
                <w:lang w:val="es-ES"/>
              </w:rPr>
              <w:t>Microestructuras</w:t>
            </w:r>
          </w:p>
          <w:p w:rsidR="00281164" w:rsidRPr="00281164" w:rsidRDefault="00281164" w:rsidP="00281164">
            <w:pPr>
              <w:spacing w:after="0" w:line="240" w:lineRule="auto"/>
              <w:jc w:val="center"/>
              <w:rPr>
                <w:rFonts w:ascii="Gulim" w:eastAsia="Gulim" w:hAnsi="Gulim" w:cs="Times New Roman"/>
                <w:lang w:val="es-ES"/>
              </w:rPr>
            </w:pPr>
            <w:r w:rsidRPr="00281164">
              <w:rPr>
                <w:rFonts w:ascii="Gulim" w:eastAsia="Gulim" w:hAnsi="Gulim" w:cs="Times New Roman"/>
                <w:lang w:val="es-ES"/>
              </w:rPr>
              <w:t>(Generalización)</w:t>
            </w:r>
          </w:p>
        </w:tc>
        <w:tc>
          <w:tcPr>
            <w:tcW w:w="1663" w:type="pct"/>
            <w:tcBorders>
              <w:top w:val="single" w:sz="8" w:space="0" w:color="374C81"/>
              <w:left w:val="single" w:sz="8" w:space="0" w:color="374C81"/>
              <w:bottom w:val="single" w:sz="8" w:space="0" w:color="374C81"/>
              <w:right w:val="single" w:sz="8" w:space="0" w:color="374C81"/>
            </w:tcBorders>
            <w:shd w:val="clear" w:color="auto" w:fill="auto"/>
            <w:tcMar>
              <w:top w:w="72" w:type="dxa"/>
              <w:left w:w="144" w:type="dxa"/>
              <w:bottom w:w="72" w:type="dxa"/>
              <w:right w:w="144" w:type="dxa"/>
            </w:tcMar>
            <w:hideMark/>
          </w:tcPr>
          <w:p w:rsidR="00281164" w:rsidRPr="00281164" w:rsidRDefault="00281164" w:rsidP="00281164">
            <w:pPr>
              <w:spacing w:after="0" w:line="240" w:lineRule="auto"/>
              <w:jc w:val="center"/>
              <w:rPr>
                <w:rFonts w:ascii="Gulim" w:eastAsia="Gulim" w:hAnsi="Gulim" w:cs="Times New Roman"/>
                <w:lang w:val="es-ES"/>
              </w:rPr>
            </w:pPr>
            <w:proofErr w:type="spellStart"/>
            <w:r w:rsidRPr="00281164">
              <w:rPr>
                <w:rFonts w:ascii="Gulim" w:eastAsia="Gulim" w:hAnsi="Gulim" w:cs="Times New Roman"/>
                <w:b/>
                <w:lang w:val="es-ES"/>
              </w:rPr>
              <w:t>Macroestructura</w:t>
            </w:r>
            <w:proofErr w:type="spellEnd"/>
          </w:p>
          <w:p w:rsidR="00281164" w:rsidRPr="00281164" w:rsidRDefault="00281164" w:rsidP="00281164">
            <w:pPr>
              <w:spacing w:after="0" w:line="240" w:lineRule="auto"/>
              <w:jc w:val="center"/>
              <w:rPr>
                <w:rFonts w:ascii="Gulim" w:eastAsia="Gulim" w:hAnsi="Gulim" w:cs="Times New Roman"/>
                <w:lang w:val="es-ES"/>
              </w:rPr>
            </w:pPr>
            <w:r w:rsidRPr="00281164">
              <w:rPr>
                <w:rFonts w:ascii="Gulim" w:eastAsia="Gulim" w:hAnsi="Gulim" w:cs="Times New Roman"/>
                <w:lang w:val="es-ES"/>
              </w:rPr>
              <w:t>(Construcción)</w:t>
            </w:r>
          </w:p>
        </w:tc>
      </w:tr>
      <w:tr w:rsidR="00281164" w:rsidRPr="00281164" w:rsidTr="00EA2429">
        <w:trPr>
          <w:trHeight w:val="589"/>
        </w:trPr>
        <w:tc>
          <w:tcPr>
            <w:tcW w:w="166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281164" w:rsidRPr="00281164" w:rsidRDefault="00281164" w:rsidP="00281164">
            <w:pPr>
              <w:spacing w:after="0" w:line="240" w:lineRule="auto"/>
              <w:jc w:val="both"/>
              <w:rPr>
                <w:rFonts w:ascii="Gulim" w:eastAsia="Gulim" w:hAnsi="Gulim" w:cs="Times New Roman"/>
                <w:lang w:val="es-VE"/>
              </w:rPr>
            </w:pPr>
            <w:r>
              <w:rPr>
                <w:rFonts w:ascii="Gulim" w:eastAsia="Gulim" w:hAnsi="Gulim" w:cs="Times New Roman"/>
                <w:lang w:val="es-VE"/>
              </w:rPr>
              <w:t>1)</w:t>
            </w:r>
          </w:p>
        </w:tc>
        <w:tc>
          <w:tcPr>
            <w:tcW w:w="1664" w:type="pct"/>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tcPr>
          <w:p w:rsidR="00281164" w:rsidRPr="00281164" w:rsidRDefault="00281164" w:rsidP="00281164">
            <w:pPr>
              <w:spacing w:after="0" w:line="240" w:lineRule="auto"/>
              <w:rPr>
                <w:rFonts w:ascii="Calibri" w:eastAsia="Calibri" w:hAnsi="Calibri" w:cs="Times New Roman"/>
                <w:lang w:val="es-ES"/>
              </w:rPr>
            </w:pPr>
          </w:p>
        </w:tc>
        <w:tc>
          <w:tcPr>
            <w:tcW w:w="1672" w:type="pct"/>
            <w:gridSpan w:val="2"/>
            <w:vMerge w:val="restart"/>
            <w:tcBorders>
              <w:top w:val="single" w:sz="4" w:space="0" w:color="auto"/>
              <w:left w:val="single" w:sz="4" w:space="0" w:color="auto"/>
              <w:right w:val="single" w:sz="4" w:space="0" w:color="auto"/>
            </w:tcBorders>
            <w:shd w:val="clear" w:color="auto" w:fill="auto"/>
          </w:tcPr>
          <w:p w:rsidR="00281164" w:rsidRPr="00281164" w:rsidRDefault="00281164" w:rsidP="00281164">
            <w:pPr>
              <w:spacing w:after="0" w:line="240" w:lineRule="auto"/>
              <w:rPr>
                <w:rFonts w:ascii="Calibri" w:eastAsia="Calibri" w:hAnsi="Calibri" w:cs="Times New Roman"/>
                <w:lang w:val="es-VE"/>
              </w:rPr>
            </w:pPr>
          </w:p>
        </w:tc>
      </w:tr>
      <w:tr w:rsidR="00281164" w:rsidRPr="00281164" w:rsidTr="00EA2429">
        <w:trPr>
          <w:trHeight w:val="563"/>
        </w:trPr>
        <w:tc>
          <w:tcPr>
            <w:tcW w:w="166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281164" w:rsidRPr="00281164" w:rsidRDefault="00281164" w:rsidP="00281164">
            <w:pPr>
              <w:spacing w:after="0" w:line="240" w:lineRule="auto"/>
              <w:jc w:val="both"/>
              <w:rPr>
                <w:rFonts w:ascii="Gulim" w:eastAsia="Gulim" w:hAnsi="Gulim" w:cs="Times New Roman"/>
                <w:lang w:val="es-VE"/>
              </w:rPr>
            </w:pPr>
            <w:r>
              <w:rPr>
                <w:rFonts w:ascii="Gulim" w:eastAsia="Gulim" w:hAnsi="Gulim" w:cs="Times New Roman"/>
                <w:lang w:val="es-VE"/>
              </w:rPr>
              <w:t>2)</w:t>
            </w:r>
          </w:p>
        </w:tc>
        <w:tc>
          <w:tcPr>
            <w:tcW w:w="1664" w:type="pct"/>
            <w:vMerge/>
            <w:tcBorders>
              <w:left w:val="single" w:sz="4" w:space="0" w:color="auto"/>
              <w:right w:val="single" w:sz="4" w:space="0" w:color="auto"/>
            </w:tcBorders>
            <w:shd w:val="clear" w:color="auto" w:fill="auto"/>
            <w:tcMar>
              <w:top w:w="72" w:type="dxa"/>
              <w:left w:w="144" w:type="dxa"/>
              <w:bottom w:w="72" w:type="dxa"/>
              <w:right w:w="144" w:type="dxa"/>
            </w:tcMar>
          </w:tcPr>
          <w:p w:rsidR="00281164" w:rsidRPr="00281164" w:rsidRDefault="00281164" w:rsidP="00281164">
            <w:pPr>
              <w:spacing w:after="200" w:line="276" w:lineRule="auto"/>
              <w:rPr>
                <w:rFonts w:ascii="Calibri" w:eastAsia="Calibri" w:hAnsi="Calibri" w:cs="Times New Roman"/>
                <w:lang w:val="es-ES"/>
              </w:rPr>
            </w:pPr>
          </w:p>
        </w:tc>
        <w:tc>
          <w:tcPr>
            <w:tcW w:w="1672" w:type="pct"/>
            <w:gridSpan w:val="2"/>
            <w:vMerge/>
            <w:tcBorders>
              <w:left w:val="single" w:sz="4" w:space="0" w:color="auto"/>
              <w:right w:val="single" w:sz="4" w:space="0" w:color="auto"/>
            </w:tcBorders>
            <w:shd w:val="clear" w:color="auto" w:fill="auto"/>
          </w:tcPr>
          <w:p w:rsidR="00281164" w:rsidRPr="00281164" w:rsidRDefault="00281164" w:rsidP="00281164">
            <w:pPr>
              <w:spacing w:after="0" w:line="240" w:lineRule="auto"/>
              <w:jc w:val="center"/>
              <w:rPr>
                <w:rFonts w:ascii="Calibri" w:eastAsia="Calibri" w:hAnsi="Calibri" w:cs="Times New Roman"/>
                <w:lang w:val="es-VE"/>
              </w:rPr>
            </w:pPr>
          </w:p>
        </w:tc>
      </w:tr>
      <w:tr w:rsidR="00281164" w:rsidRPr="00281164" w:rsidTr="00EA2429">
        <w:trPr>
          <w:trHeight w:val="537"/>
        </w:trPr>
        <w:tc>
          <w:tcPr>
            <w:tcW w:w="166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281164" w:rsidRPr="00281164" w:rsidRDefault="00281164" w:rsidP="00281164">
            <w:pPr>
              <w:spacing w:after="0" w:line="240" w:lineRule="auto"/>
              <w:jc w:val="both"/>
              <w:rPr>
                <w:rFonts w:ascii="Gulim" w:eastAsia="Gulim" w:hAnsi="Gulim" w:cs="Times New Roman"/>
                <w:lang w:val="es-VE"/>
              </w:rPr>
            </w:pPr>
            <w:r>
              <w:rPr>
                <w:rFonts w:ascii="Gulim" w:eastAsia="Gulim" w:hAnsi="Gulim" w:cs="Times New Roman"/>
                <w:lang w:val="es-VE"/>
              </w:rPr>
              <w:t>3)</w:t>
            </w:r>
          </w:p>
        </w:tc>
        <w:tc>
          <w:tcPr>
            <w:tcW w:w="1664" w:type="pct"/>
            <w:vMerge/>
            <w:tcBorders>
              <w:left w:val="single" w:sz="4" w:space="0" w:color="auto"/>
              <w:right w:val="single" w:sz="4" w:space="0" w:color="auto"/>
            </w:tcBorders>
            <w:shd w:val="clear" w:color="auto" w:fill="auto"/>
            <w:tcMar>
              <w:top w:w="72" w:type="dxa"/>
              <w:left w:w="144" w:type="dxa"/>
              <w:bottom w:w="72" w:type="dxa"/>
              <w:right w:w="144" w:type="dxa"/>
            </w:tcMar>
          </w:tcPr>
          <w:p w:rsidR="00281164" w:rsidRPr="00281164" w:rsidRDefault="00281164" w:rsidP="00281164">
            <w:pPr>
              <w:spacing w:after="200" w:line="276" w:lineRule="auto"/>
              <w:rPr>
                <w:rFonts w:ascii="Calibri" w:eastAsia="Calibri" w:hAnsi="Calibri" w:cs="Times New Roman"/>
                <w:lang w:val="es-ES"/>
              </w:rPr>
            </w:pPr>
          </w:p>
        </w:tc>
        <w:tc>
          <w:tcPr>
            <w:tcW w:w="1672" w:type="pct"/>
            <w:gridSpan w:val="2"/>
            <w:vMerge/>
            <w:tcBorders>
              <w:left w:val="single" w:sz="4" w:space="0" w:color="auto"/>
              <w:right w:val="single" w:sz="4" w:space="0" w:color="auto"/>
            </w:tcBorders>
            <w:shd w:val="clear" w:color="auto" w:fill="auto"/>
          </w:tcPr>
          <w:p w:rsidR="00281164" w:rsidRPr="00281164" w:rsidRDefault="00281164" w:rsidP="00281164">
            <w:pPr>
              <w:spacing w:after="0" w:line="240" w:lineRule="auto"/>
              <w:jc w:val="center"/>
              <w:rPr>
                <w:rFonts w:ascii="Calibri" w:eastAsia="Calibri" w:hAnsi="Calibri" w:cs="Times New Roman"/>
                <w:lang w:val="es-VE"/>
              </w:rPr>
            </w:pPr>
          </w:p>
        </w:tc>
      </w:tr>
      <w:tr w:rsidR="00281164" w:rsidRPr="00281164" w:rsidTr="00EA2429">
        <w:trPr>
          <w:trHeight w:val="537"/>
        </w:trPr>
        <w:tc>
          <w:tcPr>
            <w:tcW w:w="166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281164" w:rsidRPr="00281164" w:rsidRDefault="00281164" w:rsidP="00281164">
            <w:pPr>
              <w:spacing w:after="0" w:line="240" w:lineRule="auto"/>
              <w:jc w:val="both"/>
              <w:rPr>
                <w:rFonts w:ascii="Gulim" w:eastAsia="Gulim" w:hAnsi="Gulim" w:cs="Times New Roman"/>
                <w:lang w:val="es-VE"/>
              </w:rPr>
            </w:pPr>
            <w:r>
              <w:rPr>
                <w:rFonts w:ascii="Gulim" w:eastAsia="Gulim" w:hAnsi="Gulim" w:cs="Times New Roman"/>
                <w:lang w:val="es-VE"/>
              </w:rPr>
              <w:t>4)</w:t>
            </w:r>
          </w:p>
        </w:tc>
        <w:tc>
          <w:tcPr>
            <w:tcW w:w="1664" w:type="pct"/>
            <w:vMerge/>
            <w:tcBorders>
              <w:left w:val="single" w:sz="4" w:space="0" w:color="auto"/>
              <w:right w:val="single" w:sz="4" w:space="0" w:color="auto"/>
            </w:tcBorders>
            <w:shd w:val="clear" w:color="auto" w:fill="auto"/>
            <w:tcMar>
              <w:top w:w="72" w:type="dxa"/>
              <w:left w:w="144" w:type="dxa"/>
              <w:bottom w:w="72" w:type="dxa"/>
              <w:right w:w="144" w:type="dxa"/>
            </w:tcMar>
          </w:tcPr>
          <w:p w:rsidR="00281164" w:rsidRPr="00281164" w:rsidRDefault="00281164" w:rsidP="00281164">
            <w:pPr>
              <w:spacing w:after="200" w:line="276" w:lineRule="auto"/>
              <w:rPr>
                <w:rFonts w:ascii="Calibri" w:eastAsia="Calibri" w:hAnsi="Calibri" w:cs="Times New Roman"/>
                <w:lang w:val="es-ES"/>
              </w:rPr>
            </w:pPr>
          </w:p>
        </w:tc>
        <w:tc>
          <w:tcPr>
            <w:tcW w:w="1672" w:type="pct"/>
            <w:gridSpan w:val="2"/>
            <w:vMerge/>
            <w:tcBorders>
              <w:left w:val="single" w:sz="4" w:space="0" w:color="auto"/>
              <w:right w:val="single" w:sz="4" w:space="0" w:color="auto"/>
            </w:tcBorders>
            <w:shd w:val="clear" w:color="auto" w:fill="auto"/>
          </w:tcPr>
          <w:p w:rsidR="00281164" w:rsidRPr="00281164" w:rsidRDefault="00281164" w:rsidP="00281164">
            <w:pPr>
              <w:spacing w:after="0" w:line="240" w:lineRule="auto"/>
              <w:jc w:val="center"/>
              <w:rPr>
                <w:rFonts w:ascii="Calibri" w:eastAsia="Calibri" w:hAnsi="Calibri" w:cs="Times New Roman"/>
                <w:lang w:val="es-VE"/>
              </w:rPr>
            </w:pPr>
          </w:p>
        </w:tc>
      </w:tr>
      <w:tr w:rsidR="00281164" w:rsidRPr="00281164" w:rsidTr="00EA2429">
        <w:trPr>
          <w:trHeight w:val="537"/>
        </w:trPr>
        <w:tc>
          <w:tcPr>
            <w:tcW w:w="166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281164" w:rsidRPr="00281164" w:rsidRDefault="00281164" w:rsidP="00281164">
            <w:pPr>
              <w:spacing w:after="0" w:line="240" w:lineRule="auto"/>
              <w:jc w:val="both"/>
              <w:rPr>
                <w:rFonts w:ascii="Gulim" w:eastAsia="Gulim" w:hAnsi="Gulim" w:cs="Times New Roman"/>
                <w:lang w:val="es-VE"/>
              </w:rPr>
            </w:pPr>
            <w:r>
              <w:rPr>
                <w:rFonts w:ascii="Gulim" w:eastAsia="Gulim" w:hAnsi="Gulim" w:cs="Times New Roman"/>
                <w:lang w:val="es-VE"/>
              </w:rPr>
              <w:t>5)</w:t>
            </w:r>
          </w:p>
        </w:tc>
        <w:tc>
          <w:tcPr>
            <w:tcW w:w="1664" w:type="pct"/>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281164" w:rsidRPr="00281164" w:rsidRDefault="00281164" w:rsidP="00281164">
            <w:pPr>
              <w:spacing w:after="200" w:line="276" w:lineRule="auto"/>
              <w:rPr>
                <w:rFonts w:ascii="Calibri" w:eastAsia="Calibri" w:hAnsi="Calibri" w:cs="Times New Roman"/>
                <w:lang w:val="es-ES"/>
              </w:rPr>
            </w:pPr>
          </w:p>
        </w:tc>
        <w:tc>
          <w:tcPr>
            <w:tcW w:w="1672" w:type="pct"/>
            <w:gridSpan w:val="2"/>
            <w:vMerge/>
            <w:tcBorders>
              <w:left w:val="single" w:sz="4" w:space="0" w:color="auto"/>
              <w:bottom w:val="single" w:sz="4" w:space="0" w:color="auto"/>
              <w:right w:val="single" w:sz="4" w:space="0" w:color="auto"/>
            </w:tcBorders>
            <w:shd w:val="clear" w:color="auto" w:fill="auto"/>
          </w:tcPr>
          <w:p w:rsidR="00281164" w:rsidRPr="00281164" w:rsidRDefault="00281164" w:rsidP="00281164">
            <w:pPr>
              <w:spacing w:after="0" w:line="240" w:lineRule="auto"/>
              <w:jc w:val="center"/>
              <w:rPr>
                <w:rFonts w:ascii="Calibri" w:eastAsia="Calibri" w:hAnsi="Calibri" w:cs="Times New Roman"/>
                <w:lang w:val="es-VE"/>
              </w:rPr>
            </w:pPr>
          </w:p>
        </w:tc>
      </w:tr>
    </w:tbl>
    <w:p w:rsidR="00281164" w:rsidRPr="00281164" w:rsidRDefault="00281164" w:rsidP="00281164">
      <w:pPr>
        <w:tabs>
          <w:tab w:val="left" w:pos="1260"/>
        </w:tabs>
        <w:spacing w:after="0" w:line="200" w:lineRule="exact"/>
        <w:rPr>
          <w:rFonts w:ascii="Gulim" w:eastAsia="Gulim" w:hAnsi="Gulim" w:cs="Times New Roman"/>
          <w:lang w:val="es-VE"/>
        </w:rPr>
      </w:pPr>
      <w:r w:rsidRPr="00281164">
        <w:rPr>
          <w:rFonts w:ascii="Gulim" w:eastAsia="Gulim" w:hAnsi="Gulim" w:cs="Times New Roman"/>
          <w:b/>
          <w:lang w:val="es-VE"/>
        </w:rPr>
        <w:t>Nota:</w:t>
      </w:r>
      <w:r w:rsidRPr="00281164">
        <w:rPr>
          <w:rFonts w:ascii="Gulim" w:eastAsia="Gulim" w:hAnsi="Gulim" w:cs="Times New Roman"/>
          <w:lang w:val="es-VE"/>
        </w:rPr>
        <w:t xml:space="preserve"> en la Generalización debes indicar los números de los párrafos que agrupaste para generalizar. </w:t>
      </w:r>
    </w:p>
    <w:p w:rsidR="00281164" w:rsidRPr="00281164" w:rsidRDefault="00281164" w:rsidP="00281164">
      <w:pPr>
        <w:tabs>
          <w:tab w:val="left" w:pos="1260"/>
        </w:tabs>
        <w:spacing w:after="0" w:line="200" w:lineRule="exact"/>
        <w:rPr>
          <w:rFonts w:ascii="Gulim" w:eastAsia="Gulim" w:hAnsi="Gulim" w:cs="Times New Roman"/>
          <w:lang w:val="es-VE"/>
        </w:rPr>
      </w:pPr>
    </w:p>
    <w:p w:rsidR="00281164" w:rsidRDefault="00281164" w:rsidP="00281164">
      <w:pPr>
        <w:spacing w:after="0" w:line="240" w:lineRule="auto"/>
        <w:contextualSpacing/>
        <w:rPr>
          <w:rFonts w:ascii="Gulim" w:eastAsia="Gulim" w:hAnsi="Gulim" w:cs="Times New Roman"/>
          <w:lang w:val="es-VE"/>
        </w:rPr>
      </w:pPr>
      <w:r w:rsidRPr="00281164">
        <w:rPr>
          <w:rFonts w:ascii="Gulim" w:eastAsia="Gulim" w:hAnsi="Gulim" w:cs="Times New Roman"/>
          <w:lang w:val="es-VE"/>
        </w:rPr>
        <w:t xml:space="preserve">¿Cuál es el modelo de enseñanza de la lectura? </w:t>
      </w:r>
    </w:p>
    <w:p w:rsidR="00281164" w:rsidRDefault="00281164" w:rsidP="00281164">
      <w:pPr>
        <w:spacing w:after="0" w:line="240" w:lineRule="auto"/>
        <w:contextualSpacing/>
        <w:rPr>
          <w:rFonts w:ascii="Gulim" w:eastAsia="Gulim" w:hAnsi="Gulim" w:cs="Times New Roman"/>
          <w:lang w:val="es-VE"/>
        </w:rPr>
      </w:pPr>
    </w:p>
    <w:p w:rsidR="00281164" w:rsidRDefault="00281164" w:rsidP="00281164">
      <w:pPr>
        <w:spacing w:after="0" w:line="240" w:lineRule="auto"/>
        <w:contextualSpacing/>
        <w:rPr>
          <w:rFonts w:ascii="Gulim" w:eastAsia="Gulim" w:hAnsi="Gulim" w:cs="Times New Roman"/>
          <w:lang w:val="es-VE"/>
        </w:rPr>
      </w:pPr>
    </w:p>
    <w:p w:rsidR="00281164" w:rsidRDefault="00281164" w:rsidP="00281164">
      <w:pPr>
        <w:spacing w:after="0" w:line="240" w:lineRule="auto"/>
        <w:contextualSpacing/>
        <w:rPr>
          <w:rFonts w:ascii="Gulim" w:eastAsia="Gulim" w:hAnsi="Gulim" w:cs="Times New Roman"/>
          <w:lang w:val="es-VE"/>
        </w:rPr>
      </w:pPr>
    </w:p>
    <w:p w:rsidR="00281164" w:rsidRPr="00281164" w:rsidRDefault="00281164" w:rsidP="00281164">
      <w:pPr>
        <w:spacing w:after="0" w:line="240" w:lineRule="auto"/>
        <w:contextualSpacing/>
        <w:rPr>
          <w:rFonts w:ascii="Gulim" w:eastAsia="Gulim" w:hAnsi="Gulim" w:cs="Times New Roman"/>
          <w:lang w:val="es-VE"/>
        </w:rPr>
      </w:pPr>
    </w:p>
    <w:p w:rsidR="00281164" w:rsidRPr="00281164" w:rsidRDefault="00281164" w:rsidP="00281164">
      <w:pPr>
        <w:spacing w:after="200" w:line="276" w:lineRule="auto"/>
        <w:contextualSpacing/>
        <w:jc w:val="both"/>
        <w:rPr>
          <w:rFonts w:ascii="Gulim" w:eastAsia="Gulim" w:hAnsi="Gulim" w:cs="Times New Roman"/>
          <w:lang w:val="es-ES_tradnl"/>
        </w:rPr>
      </w:pPr>
      <w:r w:rsidRPr="00281164">
        <w:rPr>
          <w:rFonts w:ascii="Gulim" w:eastAsia="Gulim" w:hAnsi="Gulim" w:cs="Times New Roman"/>
          <w:lang w:val="es-VE"/>
        </w:rPr>
        <w:t xml:space="preserve"> </w:t>
      </w:r>
      <w:r w:rsidRPr="00281164">
        <w:rPr>
          <w:rFonts w:ascii="Gulim" w:eastAsia="Gulim" w:hAnsi="Gulim" w:cs="Times New Roman"/>
          <w:lang w:val="es-ES_tradnl"/>
        </w:rPr>
        <w:t xml:space="preserve">Argumenta por qué es desarrollado el modelo que mencionaste: </w:t>
      </w:r>
    </w:p>
    <w:p w:rsidR="00A86CBE" w:rsidRDefault="00A86CBE" w:rsidP="00281164">
      <w:pPr>
        <w:rPr>
          <w:lang w:val="es-ES_tradnl"/>
        </w:rPr>
      </w:pPr>
    </w:p>
    <w:p w:rsidR="009A4580" w:rsidRDefault="009A4580" w:rsidP="00281164">
      <w:pPr>
        <w:rPr>
          <w:lang w:val="es-ES_tradnl"/>
        </w:rPr>
      </w:pPr>
    </w:p>
    <w:p w:rsidR="009A4580" w:rsidRDefault="009A4580" w:rsidP="00281164">
      <w:pPr>
        <w:rPr>
          <w:lang w:val="es-ES_tradnl"/>
        </w:rPr>
      </w:pPr>
    </w:p>
    <w:p w:rsidR="009A4580" w:rsidRDefault="009A4580" w:rsidP="00281164">
      <w:pPr>
        <w:rPr>
          <w:lang w:val="es-ES_tradnl"/>
        </w:rPr>
      </w:pPr>
    </w:p>
    <w:p w:rsidR="009A4580" w:rsidRDefault="009A4580" w:rsidP="00281164">
      <w:pPr>
        <w:rPr>
          <w:lang w:val="es-ES_tradnl"/>
        </w:rPr>
      </w:pPr>
    </w:p>
    <w:p w:rsidR="009A4580" w:rsidRDefault="009A4580" w:rsidP="00281164">
      <w:pPr>
        <w:rPr>
          <w:lang w:val="es-ES_tradnl"/>
        </w:rPr>
      </w:pPr>
    </w:p>
    <w:p w:rsidR="009A4580" w:rsidRDefault="009A4580" w:rsidP="00281164">
      <w:pPr>
        <w:rPr>
          <w:lang w:val="es-ES_tradnl"/>
        </w:rPr>
      </w:pPr>
    </w:p>
    <w:p w:rsidR="009A4580" w:rsidRDefault="009A4580" w:rsidP="00281164">
      <w:pPr>
        <w:rPr>
          <w:lang w:val="es-ES_tradnl"/>
        </w:rPr>
      </w:pPr>
    </w:p>
    <w:p w:rsidR="009A4580" w:rsidRPr="009A4580" w:rsidRDefault="009A4580" w:rsidP="009A4580">
      <w:pPr>
        <w:spacing w:before="100" w:beforeAutospacing="1" w:after="100" w:afterAutospacing="1" w:line="240" w:lineRule="auto"/>
        <w:outlineLvl w:val="2"/>
        <w:rPr>
          <w:rFonts w:ascii="Times New Roman" w:eastAsia="Times New Roman" w:hAnsi="Times New Roman" w:cs="Times New Roman"/>
          <w:b/>
          <w:bCs/>
          <w:sz w:val="27"/>
          <w:szCs w:val="27"/>
          <w:lang w:val="es-VE"/>
        </w:rPr>
      </w:pPr>
      <w:r w:rsidRPr="009A4580">
        <w:rPr>
          <w:rFonts w:ascii="Times New Roman" w:eastAsia="Times New Roman" w:hAnsi="Times New Roman" w:cs="Times New Roman"/>
          <w:b/>
          <w:bCs/>
          <w:sz w:val="27"/>
          <w:szCs w:val="27"/>
          <w:lang w:val="es-VE"/>
        </w:rPr>
        <w:t>Indicadores de Evaluación</w:t>
      </w:r>
    </w:p>
    <w:p w:rsidR="009A4580" w:rsidRPr="009A4580" w:rsidRDefault="009A4580" w:rsidP="009A4580">
      <w:pPr>
        <w:spacing w:before="100" w:beforeAutospacing="1" w:after="100" w:afterAutospacing="1" w:line="240" w:lineRule="auto"/>
        <w:rPr>
          <w:rFonts w:ascii="Times New Roman" w:eastAsia="Times New Roman" w:hAnsi="Times New Roman" w:cs="Times New Roman"/>
          <w:sz w:val="24"/>
          <w:szCs w:val="24"/>
          <w:lang w:val="es-VE"/>
        </w:rPr>
      </w:pPr>
      <w:r w:rsidRPr="009A4580">
        <w:rPr>
          <w:rFonts w:ascii="Times New Roman" w:eastAsia="Times New Roman" w:hAnsi="Times New Roman" w:cs="Times New Roman"/>
          <w:sz w:val="24"/>
          <w:szCs w:val="24"/>
          <w:lang w:val="es-VE"/>
        </w:rPr>
        <w:t>Estos son los criterios que la profesora utilizará para valorar cada actividad (1, 2, 3 y 4). No se trata de preguntas que debas responder directamente, sino de aspectos a considerar en tu análisis.</w:t>
      </w:r>
    </w:p>
    <w:p w:rsidR="009A4580" w:rsidRPr="009A4580" w:rsidRDefault="009A4580" w:rsidP="009A4580">
      <w:pPr>
        <w:spacing w:before="100" w:beforeAutospacing="1" w:after="100" w:afterAutospacing="1" w:line="240" w:lineRule="auto"/>
        <w:outlineLvl w:val="3"/>
        <w:rPr>
          <w:rFonts w:ascii="Times New Roman" w:eastAsia="Times New Roman" w:hAnsi="Times New Roman" w:cs="Times New Roman"/>
          <w:b/>
          <w:bCs/>
          <w:sz w:val="24"/>
          <w:szCs w:val="24"/>
          <w:lang w:val="es-VE"/>
        </w:rPr>
      </w:pPr>
      <w:r w:rsidRPr="009A4580">
        <w:rPr>
          <w:rFonts w:ascii="Times New Roman" w:eastAsia="Times New Roman" w:hAnsi="Times New Roman" w:cs="Times New Roman"/>
          <w:b/>
          <w:bCs/>
          <w:sz w:val="24"/>
          <w:szCs w:val="24"/>
          <w:lang w:val="es-VE"/>
        </w:rPr>
        <w:t>1. Identificación del modelo de enseñanza de la lectura</w:t>
      </w:r>
    </w:p>
    <w:p w:rsidR="009A4580" w:rsidRPr="009A4580" w:rsidRDefault="009A4580" w:rsidP="009A4580">
      <w:pPr>
        <w:spacing w:before="100" w:beforeAutospacing="1" w:after="100" w:afterAutospacing="1" w:line="240" w:lineRule="auto"/>
        <w:rPr>
          <w:rFonts w:ascii="Times New Roman" w:eastAsia="Times New Roman" w:hAnsi="Times New Roman" w:cs="Times New Roman"/>
          <w:sz w:val="24"/>
          <w:szCs w:val="24"/>
          <w:lang w:val="es-VE"/>
        </w:rPr>
      </w:pPr>
      <w:r w:rsidRPr="009A4580">
        <w:rPr>
          <w:rFonts w:ascii="Times New Roman" w:eastAsia="Times New Roman" w:hAnsi="Times New Roman" w:cs="Times New Roman"/>
          <w:sz w:val="24"/>
          <w:szCs w:val="24"/>
          <w:lang w:val="es-VE"/>
        </w:rPr>
        <w:t xml:space="preserve">Se evaluará la capacidad de reconocer y asociar correctamente el modelo de enseñanza de la lectura (Solé, Goodman y Van </w:t>
      </w:r>
      <w:proofErr w:type="spellStart"/>
      <w:r w:rsidRPr="009A4580">
        <w:rPr>
          <w:rFonts w:ascii="Times New Roman" w:eastAsia="Times New Roman" w:hAnsi="Times New Roman" w:cs="Times New Roman"/>
          <w:sz w:val="24"/>
          <w:szCs w:val="24"/>
          <w:lang w:val="es-VE"/>
        </w:rPr>
        <w:t>Dijk</w:t>
      </w:r>
      <w:proofErr w:type="spellEnd"/>
      <w:r w:rsidRPr="009A4580">
        <w:rPr>
          <w:rFonts w:ascii="Times New Roman" w:eastAsia="Times New Roman" w:hAnsi="Times New Roman" w:cs="Times New Roman"/>
          <w:sz w:val="24"/>
          <w:szCs w:val="24"/>
          <w:lang w:val="es-VE"/>
        </w:rPr>
        <w:t>) con las actividades asignadas.</w:t>
      </w:r>
    </w:p>
    <w:p w:rsidR="009A4580" w:rsidRPr="009A4580" w:rsidRDefault="009A4580" w:rsidP="009A4580">
      <w:pPr>
        <w:spacing w:before="100" w:beforeAutospacing="1" w:after="100" w:afterAutospacing="1" w:line="240" w:lineRule="auto"/>
        <w:rPr>
          <w:rFonts w:ascii="Times New Roman" w:eastAsia="Times New Roman" w:hAnsi="Times New Roman" w:cs="Times New Roman"/>
          <w:sz w:val="24"/>
          <w:szCs w:val="24"/>
        </w:rPr>
      </w:pPr>
      <w:proofErr w:type="spellStart"/>
      <w:r w:rsidRPr="009A4580">
        <w:rPr>
          <w:rFonts w:ascii="Times New Roman" w:eastAsia="Times New Roman" w:hAnsi="Times New Roman" w:cs="Times New Roman"/>
          <w:b/>
          <w:bCs/>
          <w:sz w:val="24"/>
          <w:szCs w:val="24"/>
        </w:rPr>
        <w:t>Criterios</w:t>
      </w:r>
      <w:proofErr w:type="spellEnd"/>
      <w:r w:rsidRPr="009A4580">
        <w:rPr>
          <w:rFonts w:ascii="Times New Roman" w:eastAsia="Times New Roman" w:hAnsi="Times New Roman" w:cs="Times New Roman"/>
          <w:b/>
          <w:bCs/>
          <w:sz w:val="24"/>
          <w:szCs w:val="24"/>
        </w:rPr>
        <w:t xml:space="preserve"> de </w:t>
      </w:r>
      <w:proofErr w:type="spellStart"/>
      <w:r w:rsidRPr="009A4580">
        <w:rPr>
          <w:rFonts w:ascii="Times New Roman" w:eastAsia="Times New Roman" w:hAnsi="Times New Roman" w:cs="Times New Roman"/>
          <w:b/>
          <w:bCs/>
          <w:sz w:val="24"/>
          <w:szCs w:val="24"/>
        </w:rPr>
        <w:t>evaluación</w:t>
      </w:r>
      <w:proofErr w:type="spellEnd"/>
      <w:r w:rsidRPr="009A4580">
        <w:rPr>
          <w:rFonts w:ascii="Times New Roman" w:eastAsia="Times New Roman" w:hAnsi="Times New Roman" w:cs="Times New Roman"/>
          <w:b/>
          <w:bCs/>
          <w:sz w:val="24"/>
          <w:szCs w:val="24"/>
        </w:rPr>
        <w:t>:</w:t>
      </w:r>
    </w:p>
    <w:p w:rsidR="009A4580" w:rsidRPr="009A4580" w:rsidRDefault="009A4580" w:rsidP="009A4580">
      <w:pPr>
        <w:numPr>
          <w:ilvl w:val="0"/>
          <w:numId w:val="4"/>
        </w:numPr>
        <w:spacing w:before="100" w:beforeAutospacing="1" w:after="100" w:afterAutospacing="1" w:line="240" w:lineRule="auto"/>
        <w:rPr>
          <w:rFonts w:ascii="Times New Roman" w:eastAsia="Times New Roman" w:hAnsi="Times New Roman" w:cs="Times New Roman"/>
          <w:sz w:val="24"/>
          <w:szCs w:val="24"/>
          <w:lang w:val="es-VE"/>
        </w:rPr>
      </w:pPr>
      <w:r w:rsidRPr="009A4580">
        <w:rPr>
          <w:rFonts w:ascii="Times New Roman" w:eastAsia="Times New Roman" w:hAnsi="Times New Roman" w:cs="Times New Roman"/>
          <w:b/>
          <w:bCs/>
          <w:sz w:val="24"/>
          <w:szCs w:val="24"/>
          <w:lang w:val="es-VE"/>
        </w:rPr>
        <w:t>(2,5 puntos)</w:t>
      </w:r>
      <w:r w:rsidRPr="009A4580">
        <w:rPr>
          <w:rFonts w:ascii="Times New Roman" w:eastAsia="Times New Roman" w:hAnsi="Times New Roman" w:cs="Times New Roman"/>
          <w:sz w:val="24"/>
          <w:szCs w:val="24"/>
          <w:lang w:val="es-VE"/>
        </w:rPr>
        <w:t xml:space="preserve"> Identifica correctamente los modelos de enseñanza y los asocia con todas las actividades propuestas (responder interrogantes, subrayar ideas, formular preguntas, derivar proposiciones, etc.).</w:t>
      </w:r>
    </w:p>
    <w:p w:rsidR="009A4580" w:rsidRPr="009A4580" w:rsidRDefault="009A4580" w:rsidP="009A4580">
      <w:pPr>
        <w:numPr>
          <w:ilvl w:val="0"/>
          <w:numId w:val="4"/>
        </w:numPr>
        <w:spacing w:before="100" w:beforeAutospacing="1" w:after="100" w:afterAutospacing="1" w:line="240" w:lineRule="auto"/>
        <w:rPr>
          <w:rFonts w:ascii="Times New Roman" w:eastAsia="Times New Roman" w:hAnsi="Times New Roman" w:cs="Times New Roman"/>
          <w:sz w:val="24"/>
          <w:szCs w:val="24"/>
          <w:lang w:val="es-VE"/>
        </w:rPr>
      </w:pPr>
      <w:r w:rsidRPr="009A4580">
        <w:rPr>
          <w:rFonts w:ascii="Times New Roman" w:eastAsia="Times New Roman" w:hAnsi="Times New Roman" w:cs="Times New Roman"/>
          <w:b/>
          <w:bCs/>
          <w:sz w:val="24"/>
          <w:szCs w:val="24"/>
          <w:lang w:val="es-VE"/>
        </w:rPr>
        <w:t>(1,5 puntos)</w:t>
      </w:r>
      <w:r w:rsidRPr="009A4580">
        <w:rPr>
          <w:rFonts w:ascii="Times New Roman" w:eastAsia="Times New Roman" w:hAnsi="Times New Roman" w:cs="Times New Roman"/>
          <w:sz w:val="24"/>
          <w:szCs w:val="24"/>
          <w:lang w:val="es-VE"/>
        </w:rPr>
        <w:t xml:space="preserve"> Identifica los modelos, pero los asocia solo con algunas actividades, omitiendo otras.</w:t>
      </w:r>
    </w:p>
    <w:p w:rsidR="009A4580" w:rsidRPr="009A4580" w:rsidRDefault="009A4580" w:rsidP="009A4580">
      <w:pPr>
        <w:numPr>
          <w:ilvl w:val="0"/>
          <w:numId w:val="4"/>
        </w:numPr>
        <w:spacing w:before="100" w:beforeAutospacing="1" w:after="100" w:afterAutospacing="1" w:line="240" w:lineRule="auto"/>
        <w:rPr>
          <w:rFonts w:ascii="Times New Roman" w:eastAsia="Times New Roman" w:hAnsi="Times New Roman" w:cs="Times New Roman"/>
          <w:sz w:val="24"/>
          <w:szCs w:val="24"/>
          <w:lang w:val="es-VE"/>
        </w:rPr>
      </w:pPr>
      <w:r w:rsidRPr="009A4580">
        <w:rPr>
          <w:rFonts w:ascii="Times New Roman" w:eastAsia="Times New Roman" w:hAnsi="Times New Roman" w:cs="Times New Roman"/>
          <w:b/>
          <w:bCs/>
          <w:sz w:val="24"/>
          <w:szCs w:val="24"/>
          <w:lang w:val="es-VE"/>
        </w:rPr>
        <w:t>(0,5 puntos)</w:t>
      </w:r>
      <w:r w:rsidRPr="009A4580">
        <w:rPr>
          <w:rFonts w:ascii="Times New Roman" w:eastAsia="Times New Roman" w:hAnsi="Times New Roman" w:cs="Times New Roman"/>
          <w:sz w:val="24"/>
          <w:szCs w:val="24"/>
          <w:lang w:val="es-VE"/>
        </w:rPr>
        <w:t xml:space="preserve"> Identifica los modelos, pero no los relaciona con los elementos de las actividades.</w:t>
      </w:r>
    </w:p>
    <w:p w:rsidR="009A4580" w:rsidRPr="009A4580" w:rsidRDefault="009A4580" w:rsidP="009A4580">
      <w:pPr>
        <w:numPr>
          <w:ilvl w:val="0"/>
          <w:numId w:val="4"/>
        </w:numPr>
        <w:spacing w:before="100" w:beforeAutospacing="1" w:after="100" w:afterAutospacing="1" w:line="240" w:lineRule="auto"/>
        <w:rPr>
          <w:rFonts w:ascii="Times New Roman" w:eastAsia="Times New Roman" w:hAnsi="Times New Roman" w:cs="Times New Roman"/>
          <w:sz w:val="24"/>
          <w:szCs w:val="24"/>
          <w:lang w:val="es-VE"/>
        </w:rPr>
      </w:pPr>
      <w:r w:rsidRPr="009A4580">
        <w:rPr>
          <w:rFonts w:ascii="Times New Roman" w:eastAsia="Times New Roman" w:hAnsi="Times New Roman" w:cs="Times New Roman"/>
          <w:b/>
          <w:bCs/>
          <w:sz w:val="24"/>
          <w:szCs w:val="24"/>
          <w:lang w:val="es-VE"/>
        </w:rPr>
        <w:t>(0 puntos)</w:t>
      </w:r>
      <w:r w:rsidRPr="009A4580">
        <w:rPr>
          <w:rFonts w:ascii="Times New Roman" w:eastAsia="Times New Roman" w:hAnsi="Times New Roman" w:cs="Times New Roman"/>
          <w:sz w:val="24"/>
          <w:szCs w:val="24"/>
          <w:lang w:val="es-VE"/>
        </w:rPr>
        <w:t xml:space="preserve"> Confunde los modelos de enseñanza o no los identifica.</w:t>
      </w:r>
    </w:p>
    <w:p w:rsidR="009A4580" w:rsidRPr="009A4580" w:rsidRDefault="009A4580" w:rsidP="009A4580">
      <w:pPr>
        <w:spacing w:before="100" w:beforeAutospacing="1" w:after="100" w:afterAutospacing="1" w:line="240" w:lineRule="auto"/>
        <w:outlineLvl w:val="3"/>
        <w:rPr>
          <w:rFonts w:ascii="Times New Roman" w:eastAsia="Times New Roman" w:hAnsi="Times New Roman" w:cs="Times New Roman"/>
          <w:b/>
          <w:bCs/>
          <w:sz w:val="24"/>
          <w:szCs w:val="24"/>
          <w:lang w:val="es-VE"/>
        </w:rPr>
      </w:pPr>
      <w:r w:rsidRPr="009A4580">
        <w:rPr>
          <w:rFonts w:ascii="Times New Roman" w:eastAsia="Times New Roman" w:hAnsi="Times New Roman" w:cs="Times New Roman"/>
          <w:b/>
          <w:bCs/>
          <w:sz w:val="24"/>
          <w:szCs w:val="24"/>
          <w:lang w:val="es-VE"/>
        </w:rPr>
        <w:t>2. Argumentación sobre la presencia del modelo identificado</w:t>
      </w:r>
    </w:p>
    <w:p w:rsidR="009A4580" w:rsidRPr="009A4580" w:rsidRDefault="009A4580" w:rsidP="009A4580">
      <w:pPr>
        <w:spacing w:before="100" w:beforeAutospacing="1" w:after="100" w:afterAutospacing="1" w:line="240" w:lineRule="auto"/>
        <w:rPr>
          <w:rFonts w:ascii="Times New Roman" w:eastAsia="Times New Roman" w:hAnsi="Times New Roman" w:cs="Times New Roman"/>
          <w:sz w:val="24"/>
          <w:szCs w:val="24"/>
          <w:lang w:val="es-VE"/>
        </w:rPr>
      </w:pPr>
      <w:r w:rsidRPr="009A4580">
        <w:rPr>
          <w:rFonts w:ascii="Times New Roman" w:eastAsia="Times New Roman" w:hAnsi="Times New Roman" w:cs="Times New Roman"/>
          <w:sz w:val="24"/>
          <w:szCs w:val="24"/>
          <w:lang w:val="es-VE"/>
        </w:rPr>
        <w:t>Se evaluará la capacidad de justificar la relación entre las actividades y los fundamentos teóricos del modelo de enseñanza seleccionado.</w:t>
      </w:r>
    </w:p>
    <w:p w:rsidR="009A4580" w:rsidRPr="009A4580" w:rsidRDefault="009A4580" w:rsidP="009A4580">
      <w:pPr>
        <w:spacing w:before="100" w:beforeAutospacing="1" w:after="100" w:afterAutospacing="1" w:line="240" w:lineRule="auto"/>
        <w:rPr>
          <w:rFonts w:ascii="Times New Roman" w:eastAsia="Times New Roman" w:hAnsi="Times New Roman" w:cs="Times New Roman"/>
          <w:sz w:val="24"/>
          <w:szCs w:val="24"/>
        </w:rPr>
      </w:pPr>
      <w:proofErr w:type="spellStart"/>
      <w:r w:rsidRPr="009A4580">
        <w:rPr>
          <w:rFonts w:ascii="Times New Roman" w:eastAsia="Times New Roman" w:hAnsi="Times New Roman" w:cs="Times New Roman"/>
          <w:b/>
          <w:bCs/>
          <w:sz w:val="24"/>
          <w:szCs w:val="24"/>
        </w:rPr>
        <w:t>Criterios</w:t>
      </w:r>
      <w:proofErr w:type="spellEnd"/>
      <w:r w:rsidRPr="009A4580">
        <w:rPr>
          <w:rFonts w:ascii="Times New Roman" w:eastAsia="Times New Roman" w:hAnsi="Times New Roman" w:cs="Times New Roman"/>
          <w:b/>
          <w:bCs/>
          <w:sz w:val="24"/>
          <w:szCs w:val="24"/>
        </w:rPr>
        <w:t xml:space="preserve"> de </w:t>
      </w:r>
      <w:proofErr w:type="spellStart"/>
      <w:r w:rsidRPr="009A4580">
        <w:rPr>
          <w:rFonts w:ascii="Times New Roman" w:eastAsia="Times New Roman" w:hAnsi="Times New Roman" w:cs="Times New Roman"/>
          <w:b/>
          <w:bCs/>
          <w:sz w:val="24"/>
          <w:szCs w:val="24"/>
        </w:rPr>
        <w:t>evaluación</w:t>
      </w:r>
      <w:proofErr w:type="spellEnd"/>
      <w:r w:rsidRPr="009A4580">
        <w:rPr>
          <w:rFonts w:ascii="Times New Roman" w:eastAsia="Times New Roman" w:hAnsi="Times New Roman" w:cs="Times New Roman"/>
          <w:b/>
          <w:bCs/>
          <w:sz w:val="24"/>
          <w:szCs w:val="24"/>
        </w:rPr>
        <w:t>:</w:t>
      </w:r>
    </w:p>
    <w:p w:rsidR="009A4580" w:rsidRPr="009A4580" w:rsidRDefault="009A4580" w:rsidP="009A4580">
      <w:pPr>
        <w:numPr>
          <w:ilvl w:val="0"/>
          <w:numId w:val="5"/>
        </w:numPr>
        <w:spacing w:before="100" w:beforeAutospacing="1" w:after="100" w:afterAutospacing="1" w:line="240" w:lineRule="auto"/>
        <w:rPr>
          <w:rFonts w:ascii="Times New Roman" w:eastAsia="Times New Roman" w:hAnsi="Times New Roman" w:cs="Times New Roman"/>
          <w:sz w:val="24"/>
          <w:szCs w:val="24"/>
          <w:lang w:val="es-VE"/>
        </w:rPr>
      </w:pPr>
      <w:r w:rsidRPr="009A4580">
        <w:rPr>
          <w:rFonts w:ascii="Times New Roman" w:eastAsia="Times New Roman" w:hAnsi="Times New Roman" w:cs="Times New Roman"/>
          <w:b/>
          <w:bCs/>
          <w:sz w:val="24"/>
          <w:szCs w:val="24"/>
          <w:lang w:val="es-VE"/>
        </w:rPr>
        <w:t>(2,5 puntos)</w:t>
      </w:r>
      <w:r w:rsidRPr="009A4580">
        <w:rPr>
          <w:rFonts w:ascii="Times New Roman" w:eastAsia="Times New Roman" w:hAnsi="Times New Roman" w:cs="Times New Roman"/>
          <w:sz w:val="24"/>
          <w:szCs w:val="24"/>
          <w:lang w:val="es-VE"/>
        </w:rPr>
        <w:t xml:space="preserve"> Establece la relación entre los elementos de cada actividad y el fundamento teórico, utilizando términos técnicos como </w:t>
      </w:r>
      <w:r w:rsidRPr="009A4580">
        <w:rPr>
          <w:rFonts w:ascii="Times New Roman" w:eastAsia="Times New Roman" w:hAnsi="Times New Roman" w:cs="Times New Roman"/>
          <w:i/>
          <w:iCs/>
          <w:sz w:val="24"/>
          <w:szCs w:val="24"/>
          <w:lang w:val="es-VE"/>
        </w:rPr>
        <w:t xml:space="preserve">muestreo, predicción, </w:t>
      </w:r>
      <w:proofErr w:type="spellStart"/>
      <w:r w:rsidRPr="009A4580">
        <w:rPr>
          <w:rFonts w:ascii="Times New Roman" w:eastAsia="Times New Roman" w:hAnsi="Times New Roman" w:cs="Times New Roman"/>
          <w:i/>
          <w:iCs/>
          <w:sz w:val="24"/>
          <w:szCs w:val="24"/>
          <w:lang w:val="es-VE"/>
        </w:rPr>
        <w:t>macroestructura</w:t>
      </w:r>
      <w:proofErr w:type="spellEnd"/>
      <w:r w:rsidRPr="009A4580">
        <w:rPr>
          <w:rFonts w:ascii="Times New Roman" w:eastAsia="Times New Roman" w:hAnsi="Times New Roman" w:cs="Times New Roman"/>
          <w:i/>
          <w:iCs/>
          <w:sz w:val="24"/>
          <w:szCs w:val="24"/>
          <w:lang w:val="es-VE"/>
        </w:rPr>
        <w:t>, proposición</w:t>
      </w:r>
      <w:r w:rsidRPr="009A4580">
        <w:rPr>
          <w:rFonts w:ascii="Times New Roman" w:eastAsia="Times New Roman" w:hAnsi="Times New Roman" w:cs="Times New Roman"/>
          <w:sz w:val="24"/>
          <w:szCs w:val="24"/>
          <w:lang w:val="es-VE"/>
        </w:rPr>
        <w:t>, entre otros.</w:t>
      </w:r>
    </w:p>
    <w:p w:rsidR="009A4580" w:rsidRPr="009A4580" w:rsidRDefault="009A4580" w:rsidP="009A4580">
      <w:pPr>
        <w:numPr>
          <w:ilvl w:val="0"/>
          <w:numId w:val="5"/>
        </w:numPr>
        <w:spacing w:before="100" w:beforeAutospacing="1" w:after="100" w:afterAutospacing="1" w:line="240" w:lineRule="auto"/>
        <w:rPr>
          <w:rFonts w:ascii="Times New Roman" w:eastAsia="Times New Roman" w:hAnsi="Times New Roman" w:cs="Times New Roman"/>
          <w:sz w:val="24"/>
          <w:szCs w:val="24"/>
          <w:lang w:val="es-VE"/>
        </w:rPr>
      </w:pPr>
      <w:r w:rsidRPr="009A4580">
        <w:rPr>
          <w:rFonts w:ascii="Times New Roman" w:eastAsia="Times New Roman" w:hAnsi="Times New Roman" w:cs="Times New Roman"/>
          <w:b/>
          <w:bCs/>
          <w:sz w:val="24"/>
          <w:szCs w:val="24"/>
          <w:lang w:val="es-VE"/>
        </w:rPr>
        <w:t>(1,5 puntos)</w:t>
      </w:r>
      <w:r w:rsidRPr="009A4580">
        <w:rPr>
          <w:rFonts w:ascii="Times New Roman" w:eastAsia="Times New Roman" w:hAnsi="Times New Roman" w:cs="Times New Roman"/>
          <w:sz w:val="24"/>
          <w:szCs w:val="24"/>
          <w:lang w:val="es-VE"/>
        </w:rPr>
        <w:t xml:space="preserve"> Relaciona parcialmente algunos aspectos de las actividades con los fundamentos teóricos, pero omite otros.</w:t>
      </w:r>
    </w:p>
    <w:p w:rsidR="009A4580" w:rsidRPr="009A4580" w:rsidRDefault="009A4580" w:rsidP="009A4580">
      <w:pPr>
        <w:numPr>
          <w:ilvl w:val="0"/>
          <w:numId w:val="5"/>
        </w:numPr>
        <w:spacing w:before="100" w:beforeAutospacing="1" w:after="100" w:afterAutospacing="1" w:line="240" w:lineRule="auto"/>
        <w:rPr>
          <w:rFonts w:ascii="Times New Roman" w:eastAsia="Times New Roman" w:hAnsi="Times New Roman" w:cs="Times New Roman"/>
          <w:sz w:val="24"/>
          <w:szCs w:val="24"/>
          <w:lang w:val="es-VE"/>
        </w:rPr>
      </w:pPr>
      <w:r w:rsidRPr="009A4580">
        <w:rPr>
          <w:rFonts w:ascii="Times New Roman" w:eastAsia="Times New Roman" w:hAnsi="Times New Roman" w:cs="Times New Roman"/>
          <w:b/>
          <w:bCs/>
          <w:sz w:val="24"/>
          <w:szCs w:val="24"/>
          <w:lang w:val="es-VE"/>
        </w:rPr>
        <w:t>(0,5 puntos)</w:t>
      </w:r>
      <w:r w:rsidRPr="009A4580">
        <w:rPr>
          <w:rFonts w:ascii="Times New Roman" w:eastAsia="Times New Roman" w:hAnsi="Times New Roman" w:cs="Times New Roman"/>
          <w:sz w:val="24"/>
          <w:szCs w:val="24"/>
          <w:lang w:val="es-VE"/>
        </w:rPr>
        <w:t xml:space="preserve"> Presenta fundamentos teóricos con interpretaciones personales sobre su utilidad, pero sin vincularlos con las actividades.</w:t>
      </w:r>
    </w:p>
    <w:p w:rsidR="009A4580" w:rsidRPr="009A4580" w:rsidRDefault="009A4580" w:rsidP="009A4580">
      <w:pPr>
        <w:numPr>
          <w:ilvl w:val="0"/>
          <w:numId w:val="5"/>
        </w:numPr>
        <w:spacing w:before="100" w:beforeAutospacing="1" w:after="100" w:afterAutospacing="1" w:line="240" w:lineRule="auto"/>
        <w:rPr>
          <w:rFonts w:ascii="Times New Roman" w:eastAsia="Times New Roman" w:hAnsi="Times New Roman" w:cs="Times New Roman"/>
          <w:sz w:val="24"/>
          <w:szCs w:val="24"/>
          <w:lang w:val="es-VE"/>
        </w:rPr>
      </w:pPr>
      <w:r w:rsidRPr="009A4580">
        <w:rPr>
          <w:rFonts w:ascii="Times New Roman" w:eastAsia="Times New Roman" w:hAnsi="Times New Roman" w:cs="Times New Roman"/>
          <w:b/>
          <w:bCs/>
          <w:sz w:val="24"/>
          <w:szCs w:val="24"/>
          <w:lang w:val="es-VE"/>
        </w:rPr>
        <w:t>(0 puntos)</w:t>
      </w:r>
      <w:r w:rsidRPr="009A4580">
        <w:rPr>
          <w:rFonts w:ascii="Times New Roman" w:eastAsia="Times New Roman" w:hAnsi="Times New Roman" w:cs="Times New Roman"/>
          <w:sz w:val="24"/>
          <w:szCs w:val="24"/>
          <w:lang w:val="es-VE"/>
        </w:rPr>
        <w:t xml:space="preserve"> Describe las actividades sin establecer conexiones con la teoría o copia textualmente información sin contextualizarla.</w:t>
      </w:r>
    </w:p>
    <w:p w:rsidR="009A4580" w:rsidRPr="009A4580" w:rsidRDefault="009A4580" w:rsidP="009A4580">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9A4580">
        <w:rPr>
          <w:rFonts w:ascii="Times New Roman" w:eastAsia="Times New Roman" w:hAnsi="Times New Roman" w:cs="Times New Roman"/>
          <w:b/>
          <w:bCs/>
          <w:sz w:val="27"/>
          <w:szCs w:val="27"/>
        </w:rPr>
        <w:t>Tabla</w:t>
      </w:r>
      <w:proofErr w:type="spellEnd"/>
      <w:r w:rsidRPr="009A4580">
        <w:rPr>
          <w:rFonts w:ascii="Times New Roman" w:eastAsia="Times New Roman" w:hAnsi="Times New Roman" w:cs="Times New Roman"/>
          <w:b/>
          <w:bCs/>
          <w:sz w:val="27"/>
          <w:szCs w:val="27"/>
        </w:rPr>
        <w:t xml:space="preserve"> de </w:t>
      </w:r>
      <w:proofErr w:type="spellStart"/>
      <w:r w:rsidRPr="009A4580">
        <w:rPr>
          <w:rFonts w:ascii="Times New Roman" w:eastAsia="Times New Roman" w:hAnsi="Times New Roman" w:cs="Times New Roman"/>
          <w:b/>
          <w:bCs/>
          <w:sz w:val="27"/>
          <w:szCs w:val="27"/>
        </w:rPr>
        <w:t>Evaluación</w:t>
      </w:r>
      <w:proofErr w:type="spellEnd"/>
    </w:p>
    <w:tbl>
      <w:tblPr>
        <w:tblStyle w:val="Tablaconcuadrcula"/>
        <w:tblW w:w="0" w:type="auto"/>
        <w:tblLook w:val="04A0" w:firstRow="1" w:lastRow="0" w:firstColumn="1" w:lastColumn="0" w:noHBand="0" w:noVBand="1"/>
      </w:tblPr>
      <w:tblGrid>
        <w:gridCol w:w="2901"/>
        <w:gridCol w:w="1291"/>
        <w:gridCol w:w="1291"/>
        <w:gridCol w:w="1291"/>
        <w:gridCol w:w="1291"/>
        <w:gridCol w:w="763"/>
      </w:tblGrid>
      <w:tr w:rsidR="009A4580" w:rsidRPr="009A4580" w:rsidTr="009A4580">
        <w:tc>
          <w:tcPr>
            <w:tcW w:w="0" w:type="auto"/>
            <w:hideMark/>
          </w:tcPr>
          <w:p w:rsidR="009A4580" w:rsidRPr="009A4580" w:rsidRDefault="009A4580" w:rsidP="009A4580">
            <w:pPr>
              <w:jc w:val="center"/>
              <w:rPr>
                <w:rFonts w:ascii="Times New Roman" w:eastAsia="Times New Roman" w:hAnsi="Times New Roman" w:cs="Times New Roman"/>
                <w:b/>
                <w:bCs/>
                <w:sz w:val="24"/>
                <w:szCs w:val="24"/>
              </w:rPr>
            </w:pPr>
            <w:proofErr w:type="spellStart"/>
            <w:r w:rsidRPr="009A4580">
              <w:rPr>
                <w:rFonts w:ascii="Times New Roman" w:eastAsia="Times New Roman" w:hAnsi="Times New Roman" w:cs="Times New Roman"/>
                <w:b/>
                <w:bCs/>
                <w:sz w:val="24"/>
                <w:szCs w:val="24"/>
              </w:rPr>
              <w:t>Indicadores</w:t>
            </w:r>
            <w:proofErr w:type="spellEnd"/>
          </w:p>
        </w:tc>
        <w:tc>
          <w:tcPr>
            <w:tcW w:w="0" w:type="auto"/>
            <w:hideMark/>
          </w:tcPr>
          <w:p w:rsidR="009A4580" w:rsidRPr="009A4580" w:rsidRDefault="009A4580" w:rsidP="009A4580">
            <w:pPr>
              <w:jc w:val="center"/>
              <w:rPr>
                <w:rFonts w:ascii="Times New Roman" w:eastAsia="Times New Roman" w:hAnsi="Times New Roman" w:cs="Times New Roman"/>
                <w:b/>
                <w:bCs/>
                <w:sz w:val="24"/>
                <w:szCs w:val="24"/>
              </w:rPr>
            </w:pPr>
            <w:proofErr w:type="spellStart"/>
            <w:r w:rsidRPr="009A4580">
              <w:rPr>
                <w:rFonts w:ascii="Times New Roman" w:eastAsia="Times New Roman" w:hAnsi="Times New Roman" w:cs="Times New Roman"/>
                <w:b/>
                <w:bCs/>
                <w:sz w:val="24"/>
                <w:szCs w:val="24"/>
              </w:rPr>
              <w:t>Actividad</w:t>
            </w:r>
            <w:proofErr w:type="spellEnd"/>
            <w:r w:rsidRPr="009A4580">
              <w:rPr>
                <w:rFonts w:ascii="Times New Roman" w:eastAsia="Times New Roman" w:hAnsi="Times New Roman" w:cs="Times New Roman"/>
                <w:b/>
                <w:bCs/>
                <w:sz w:val="24"/>
                <w:szCs w:val="24"/>
              </w:rPr>
              <w:t xml:space="preserve"> 1</w:t>
            </w:r>
          </w:p>
        </w:tc>
        <w:tc>
          <w:tcPr>
            <w:tcW w:w="0" w:type="auto"/>
            <w:hideMark/>
          </w:tcPr>
          <w:p w:rsidR="009A4580" w:rsidRPr="009A4580" w:rsidRDefault="009A4580" w:rsidP="009A4580">
            <w:pPr>
              <w:jc w:val="center"/>
              <w:rPr>
                <w:rFonts w:ascii="Times New Roman" w:eastAsia="Times New Roman" w:hAnsi="Times New Roman" w:cs="Times New Roman"/>
                <w:b/>
                <w:bCs/>
                <w:sz w:val="24"/>
                <w:szCs w:val="24"/>
              </w:rPr>
            </w:pPr>
            <w:proofErr w:type="spellStart"/>
            <w:r w:rsidRPr="009A4580">
              <w:rPr>
                <w:rFonts w:ascii="Times New Roman" w:eastAsia="Times New Roman" w:hAnsi="Times New Roman" w:cs="Times New Roman"/>
                <w:b/>
                <w:bCs/>
                <w:sz w:val="24"/>
                <w:szCs w:val="24"/>
              </w:rPr>
              <w:t>Actividad</w:t>
            </w:r>
            <w:proofErr w:type="spellEnd"/>
            <w:r w:rsidRPr="009A4580">
              <w:rPr>
                <w:rFonts w:ascii="Times New Roman" w:eastAsia="Times New Roman" w:hAnsi="Times New Roman" w:cs="Times New Roman"/>
                <w:b/>
                <w:bCs/>
                <w:sz w:val="24"/>
                <w:szCs w:val="24"/>
              </w:rPr>
              <w:t xml:space="preserve"> 2</w:t>
            </w:r>
          </w:p>
        </w:tc>
        <w:tc>
          <w:tcPr>
            <w:tcW w:w="0" w:type="auto"/>
            <w:hideMark/>
          </w:tcPr>
          <w:p w:rsidR="009A4580" w:rsidRPr="009A4580" w:rsidRDefault="009A4580" w:rsidP="009A4580">
            <w:pPr>
              <w:jc w:val="center"/>
              <w:rPr>
                <w:rFonts w:ascii="Times New Roman" w:eastAsia="Times New Roman" w:hAnsi="Times New Roman" w:cs="Times New Roman"/>
                <w:b/>
                <w:bCs/>
                <w:sz w:val="24"/>
                <w:szCs w:val="24"/>
              </w:rPr>
            </w:pPr>
            <w:proofErr w:type="spellStart"/>
            <w:r w:rsidRPr="009A4580">
              <w:rPr>
                <w:rFonts w:ascii="Times New Roman" w:eastAsia="Times New Roman" w:hAnsi="Times New Roman" w:cs="Times New Roman"/>
                <w:b/>
                <w:bCs/>
                <w:sz w:val="24"/>
                <w:szCs w:val="24"/>
              </w:rPr>
              <w:t>Actividad</w:t>
            </w:r>
            <w:proofErr w:type="spellEnd"/>
            <w:r w:rsidRPr="009A4580">
              <w:rPr>
                <w:rFonts w:ascii="Times New Roman" w:eastAsia="Times New Roman" w:hAnsi="Times New Roman" w:cs="Times New Roman"/>
                <w:b/>
                <w:bCs/>
                <w:sz w:val="24"/>
                <w:szCs w:val="24"/>
              </w:rPr>
              <w:t xml:space="preserve"> 3</w:t>
            </w:r>
          </w:p>
        </w:tc>
        <w:tc>
          <w:tcPr>
            <w:tcW w:w="0" w:type="auto"/>
            <w:hideMark/>
          </w:tcPr>
          <w:p w:rsidR="009A4580" w:rsidRPr="009A4580" w:rsidRDefault="009A4580" w:rsidP="009A4580">
            <w:pPr>
              <w:jc w:val="center"/>
              <w:rPr>
                <w:rFonts w:ascii="Times New Roman" w:eastAsia="Times New Roman" w:hAnsi="Times New Roman" w:cs="Times New Roman"/>
                <w:b/>
                <w:bCs/>
                <w:sz w:val="24"/>
                <w:szCs w:val="24"/>
              </w:rPr>
            </w:pPr>
            <w:proofErr w:type="spellStart"/>
            <w:r w:rsidRPr="009A4580">
              <w:rPr>
                <w:rFonts w:ascii="Times New Roman" w:eastAsia="Times New Roman" w:hAnsi="Times New Roman" w:cs="Times New Roman"/>
                <w:b/>
                <w:bCs/>
                <w:sz w:val="24"/>
                <w:szCs w:val="24"/>
              </w:rPr>
              <w:t>Actividad</w:t>
            </w:r>
            <w:proofErr w:type="spellEnd"/>
            <w:r w:rsidRPr="009A4580">
              <w:rPr>
                <w:rFonts w:ascii="Times New Roman" w:eastAsia="Times New Roman" w:hAnsi="Times New Roman" w:cs="Times New Roman"/>
                <w:b/>
                <w:bCs/>
                <w:sz w:val="24"/>
                <w:szCs w:val="24"/>
              </w:rPr>
              <w:t xml:space="preserve"> 4</w:t>
            </w:r>
          </w:p>
        </w:tc>
        <w:tc>
          <w:tcPr>
            <w:tcW w:w="0" w:type="auto"/>
            <w:hideMark/>
          </w:tcPr>
          <w:p w:rsidR="009A4580" w:rsidRPr="009A4580" w:rsidRDefault="009A4580" w:rsidP="009A4580">
            <w:pPr>
              <w:jc w:val="center"/>
              <w:rPr>
                <w:rFonts w:ascii="Times New Roman" w:eastAsia="Times New Roman" w:hAnsi="Times New Roman" w:cs="Times New Roman"/>
                <w:b/>
                <w:bCs/>
                <w:sz w:val="24"/>
                <w:szCs w:val="24"/>
              </w:rPr>
            </w:pPr>
            <w:r w:rsidRPr="009A4580">
              <w:rPr>
                <w:rFonts w:ascii="Times New Roman" w:eastAsia="Times New Roman" w:hAnsi="Times New Roman" w:cs="Times New Roman"/>
                <w:b/>
                <w:bCs/>
                <w:sz w:val="24"/>
                <w:szCs w:val="24"/>
              </w:rPr>
              <w:t>Total</w:t>
            </w:r>
          </w:p>
        </w:tc>
      </w:tr>
      <w:tr w:rsidR="009A4580" w:rsidRPr="009A4580" w:rsidTr="009A4580">
        <w:tc>
          <w:tcPr>
            <w:tcW w:w="0" w:type="auto"/>
            <w:hideMark/>
          </w:tcPr>
          <w:p w:rsidR="009A4580" w:rsidRPr="009A4580" w:rsidRDefault="009A4580" w:rsidP="009A4580">
            <w:pPr>
              <w:rPr>
                <w:rFonts w:ascii="Times New Roman" w:eastAsia="Times New Roman" w:hAnsi="Times New Roman" w:cs="Times New Roman"/>
                <w:sz w:val="24"/>
                <w:szCs w:val="24"/>
                <w:lang w:val="es-VE"/>
              </w:rPr>
            </w:pPr>
            <w:r w:rsidRPr="009A4580">
              <w:rPr>
                <w:rFonts w:ascii="Times New Roman" w:eastAsia="Times New Roman" w:hAnsi="Times New Roman" w:cs="Times New Roman"/>
                <w:sz w:val="24"/>
                <w:szCs w:val="24"/>
                <w:lang w:val="es-VE"/>
              </w:rPr>
              <w:lastRenderedPageBreak/>
              <w:t>Identificación del modelo de enseñanza</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r>
      <w:tr w:rsidR="009A4580" w:rsidRPr="009A4580" w:rsidTr="009A4580">
        <w:tc>
          <w:tcPr>
            <w:tcW w:w="0" w:type="auto"/>
            <w:hideMark/>
          </w:tcPr>
          <w:p w:rsidR="009A4580" w:rsidRPr="009A4580" w:rsidRDefault="009A4580" w:rsidP="009A4580">
            <w:pPr>
              <w:rPr>
                <w:rFonts w:ascii="Times New Roman" w:eastAsia="Times New Roman" w:hAnsi="Times New Roman" w:cs="Times New Roman"/>
                <w:sz w:val="24"/>
                <w:szCs w:val="24"/>
                <w:lang w:val="es-VE"/>
              </w:rPr>
            </w:pPr>
            <w:r w:rsidRPr="009A4580">
              <w:rPr>
                <w:rFonts w:ascii="Times New Roman" w:eastAsia="Times New Roman" w:hAnsi="Times New Roman" w:cs="Times New Roman"/>
                <w:sz w:val="24"/>
                <w:szCs w:val="24"/>
                <w:lang w:val="es-VE"/>
              </w:rPr>
              <w:t>Argumentación sobre la presencia del modelo</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r>
      <w:tr w:rsidR="009A4580" w:rsidRPr="009A4580" w:rsidTr="009A4580">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Times New Roman" w:eastAsia="Times New Roman" w:hAnsi="Times New Roman" w:cs="Times New Roman"/>
                <w:b/>
                <w:bCs/>
                <w:sz w:val="24"/>
                <w:szCs w:val="24"/>
              </w:rPr>
              <w:t>Total</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c>
          <w:tcPr>
            <w:tcW w:w="0" w:type="auto"/>
            <w:hideMark/>
          </w:tcPr>
          <w:p w:rsidR="009A4580" w:rsidRPr="009A4580" w:rsidRDefault="009A4580" w:rsidP="009A4580">
            <w:pPr>
              <w:rPr>
                <w:rFonts w:ascii="Times New Roman" w:eastAsia="Times New Roman" w:hAnsi="Times New Roman" w:cs="Times New Roman"/>
                <w:sz w:val="24"/>
                <w:szCs w:val="24"/>
              </w:rPr>
            </w:pPr>
            <w:r w:rsidRPr="009A4580">
              <w:rPr>
                <w:rFonts w:ascii="Segoe UI Symbol" w:eastAsia="Times New Roman" w:hAnsi="Segoe UI Symbol" w:cs="Segoe UI Symbol"/>
                <w:sz w:val="24"/>
                <w:szCs w:val="24"/>
              </w:rPr>
              <w:t>⬜</w:t>
            </w:r>
          </w:p>
        </w:tc>
      </w:tr>
    </w:tbl>
    <w:p w:rsidR="009A4580" w:rsidRPr="009A4580" w:rsidRDefault="009A4580" w:rsidP="009A4580">
      <w:pPr>
        <w:spacing w:before="100" w:beforeAutospacing="1" w:after="100" w:afterAutospacing="1" w:line="240" w:lineRule="auto"/>
        <w:rPr>
          <w:rFonts w:ascii="Times New Roman" w:eastAsia="Times New Roman" w:hAnsi="Times New Roman" w:cs="Times New Roman"/>
          <w:sz w:val="24"/>
          <w:szCs w:val="24"/>
          <w:lang w:val="es-VE"/>
        </w:rPr>
      </w:pPr>
      <w:r w:rsidRPr="009A4580">
        <w:rPr>
          <w:rFonts w:ascii="Times New Roman" w:eastAsia="Times New Roman" w:hAnsi="Times New Roman" w:cs="Times New Roman"/>
          <w:sz w:val="24"/>
          <w:szCs w:val="24"/>
          <w:lang w:val="es-VE"/>
        </w:rPr>
        <w:t>Este instrumento de evaluación permitirá valorar tu capacidad de análisis y argumentación en relación con los modelos de enseñanza de la lectura.</w:t>
      </w:r>
    </w:p>
    <w:p w:rsidR="009A4580" w:rsidRPr="009A4580" w:rsidRDefault="009A4580" w:rsidP="00281164">
      <w:pPr>
        <w:rPr>
          <w:lang w:val="es-VE"/>
        </w:rPr>
      </w:pPr>
    </w:p>
    <w:sectPr w:rsidR="009A4580" w:rsidRPr="009A45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7870CCB8"/>
    <w:lvl w:ilvl="0" w:tplc="290AD6FA">
      <w:start w:val="1"/>
      <w:numFmt w:val="decimal"/>
      <w:lvlText w:val="%1)"/>
      <w:lvlJc w:val="left"/>
      <w:pPr>
        <w:ind w:left="360" w:hanging="360"/>
      </w:pPr>
      <w:rPr>
        <w:rFonts w:hint="default"/>
        <w:color w:val="auto"/>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1" w15:restartNumberingAfterBreak="0">
    <w:nsid w:val="0B420888"/>
    <w:multiLevelType w:val="multilevel"/>
    <w:tmpl w:val="0A28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E495F"/>
    <w:multiLevelType w:val="hybridMultilevel"/>
    <w:tmpl w:val="084ED4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915F43"/>
    <w:multiLevelType w:val="hybridMultilevel"/>
    <w:tmpl w:val="A13627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9F28A0"/>
    <w:multiLevelType w:val="multilevel"/>
    <w:tmpl w:val="912C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BF"/>
    <w:rsid w:val="00053E10"/>
    <w:rsid w:val="00100958"/>
    <w:rsid w:val="00281164"/>
    <w:rsid w:val="004B1ED1"/>
    <w:rsid w:val="006734C3"/>
    <w:rsid w:val="00790A2E"/>
    <w:rsid w:val="007A0BAC"/>
    <w:rsid w:val="009A4580"/>
    <w:rsid w:val="009B57A6"/>
    <w:rsid w:val="00A726D6"/>
    <w:rsid w:val="00A86CBE"/>
    <w:rsid w:val="00B32ADC"/>
    <w:rsid w:val="00BC78CE"/>
    <w:rsid w:val="00C361EA"/>
    <w:rsid w:val="00C843FF"/>
    <w:rsid w:val="00E0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C644"/>
  <w15:chartTrackingRefBased/>
  <w15:docId w15:val="{F2EB0E79-B77F-4FC2-8980-973E110B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detablaclara">
    <w:name w:val="Grid Table Light"/>
    <w:basedOn w:val="Tablanormal"/>
    <w:uiPriority w:val="40"/>
    <w:rsid w:val="00790A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053E1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53E10"/>
    <w:rPr>
      <w:b/>
      <w:bCs/>
    </w:rPr>
  </w:style>
  <w:style w:type="character" w:styleId="nfasis">
    <w:name w:val="Emphasis"/>
    <w:basedOn w:val="Fuentedeprrafopredeter"/>
    <w:uiPriority w:val="20"/>
    <w:qFormat/>
    <w:rsid w:val="00053E10"/>
    <w:rPr>
      <w:i/>
      <w:iCs/>
    </w:rPr>
  </w:style>
  <w:style w:type="paragraph" w:styleId="Prrafodelista">
    <w:name w:val="List Paragraph"/>
    <w:basedOn w:val="Normal"/>
    <w:uiPriority w:val="34"/>
    <w:qFormat/>
    <w:rsid w:val="00053E10"/>
    <w:pPr>
      <w:ind w:left="720"/>
      <w:contextualSpacing/>
    </w:pPr>
  </w:style>
  <w:style w:type="table" w:styleId="Tablaconcuadrcula">
    <w:name w:val="Table Grid"/>
    <w:basedOn w:val="Tablanormal"/>
    <w:uiPriority w:val="39"/>
    <w:rsid w:val="009A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1117">
      <w:bodyDiv w:val="1"/>
      <w:marLeft w:val="0"/>
      <w:marRight w:val="0"/>
      <w:marTop w:val="0"/>
      <w:marBottom w:val="0"/>
      <w:divBdr>
        <w:top w:val="none" w:sz="0" w:space="0" w:color="auto"/>
        <w:left w:val="none" w:sz="0" w:space="0" w:color="auto"/>
        <w:bottom w:val="none" w:sz="0" w:space="0" w:color="auto"/>
        <w:right w:val="none" w:sz="0" w:space="0" w:color="auto"/>
      </w:divBdr>
    </w:div>
    <w:div w:id="406615617">
      <w:bodyDiv w:val="1"/>
      <w:marLeft w:val="0"/>
      <w:marRight w:val="0"/>
      <w:marTop w:val="0"/>
      <w:marBottom w:val="0"/>
      <w:divBdr>
        <w:top w:val="none" w:sz="0" w:space="0" w:color="auto"/>
        <w:left w:val="none" w:sz="0" w:space="0" w:color="auto"/>
        <w:bottom w:val="none" w:sz="0" w:space="0" w:color="auto"/>
        <w:right w:val="none" w:sz="0" w:space="0" w:color="auto"/>
      </w:divBdr>
      <w:divsChild>
        <w:div w:id="1427074426">
          <w:marLeft w:val="0"/>
          <w:marRight w:val="0"/>
          <w:marTop w:val="0"/>
          <w:marBottom w:val="0"/>
          <w:divBdr>
            <w:top w:val="none" w:sz="0" w:space="0" w:color="auto"/>
            <w:left w:val="none" w:sz="0" w:space="0" w:color="auto"/>
            <w:bottom w:val="none" w:sz="0" w:space="0" w:color="auto"/>
            <w:right w:val="none" w:sz="0" w:space="0" w:color="auto"/>
          </w:divBdr>
          <w:divsChild>
            <w:div w:id="73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889">
      <w:bodyDiv w:val="1"/>
      <w:marLeft w:val="0"/>
      <w:marRight w:val="0"/>
      <w:marTop w:val="0"/>
      <w:marBottom w:val="0"/>
      <w:divBdr>
        <w:top w:val="none" w:sz="0" w:space="0" w:color="auto"/>
        <w:left w:val="none" w:sz="0" w:space="0" w:color="auto"/>
        <w:bottom w:val="none" w:sz="0" w:space="0" w:color="auto"/>
        <w:right w:val="none" w:sz="0" w:space="0" w:color="auto"/>
      </w:divBdr>
      <w:divsChild>
        <w:div w:id="1952777582">
          <w:marLeft w:val="0"/>
          <w:marRight w:val="0"/>
          <w:marTop w:val="0"/>
          <w:marBottom w:val="0"/>
          <w:divBdr>
            <w:top w:val="none" w:sz="0" w:space="0" w:color="auto"/>
            <w:left w:val="none" w:sz="0" w:space="0" w:color="auto"/>
            <w:bottom w:val="none" w:sz="0" w:space="0" w:color="auto"/>
            <w:right w:val="none" w:sz="0" w:space="0" w:color="auto"/>
          </w:divBdr>
          <w:divsChild>
            <w:div w:id="3988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476">
      <w:bodyDiv w:val="1"/>
      <w:marLeft w:val="0"/>
      <w:marRight w:val="0"/>
      <w:marTop w:val="0"/>
      <w:marBottom w:val="0"/>
      <w:divBdr>
        <w:top w:val="none" w:sz="0" w:space="0" w:color="auto"/>
        <w:left w:val="none" w:sz="0" w:space="0" w:color="auto"/>
        <w:bottom w:val="none" w:sz="0" w:space="0" w:color="auto"/>
        <w:right w:val="none" w:sz="0" w:space="0" w:color="auto"/>
      </w:divBdr>
      <w:divsChild>
        <w:div w:id="1697926299">
          <w:marLeft w:val="0"/>
          <w:marRight w:val="0"/>
          <w:marTop w:val="0"/>
          <w:marBottom w:val="0"/>
          <w:divBdr>
            <w:top w:val="none" w:sz="0" w:space="0" w:color="auto"/>
            <w:left w:val="none" w:sz="0" w:space="0" w:color="auto"/>
            <w:bottom w:val="none" w:sz="0" w:space="0" w:color="auto"/>
            <w:right w:val="none" w:sz="0" w:space="0" w:color="auto"/>
          </w:divBdr>
          <w:divsChild>
            <w:div w:id="18021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6255">
      <w:bodyDiv w:val="1"/>
      <w:marLeft w:val="0"/>
      <w:marRight w:val="0"/>
      <w:marTop w:val="0"/>
      <w:marBottom w:val="0"/>
      <w:divBdr>
        <w:top w:val="none" w:sz="0" w:space="0" w:color="auto"/>
        <w:left w:val="none" w:sz="0" w:space="0" w:color="auto"/>
        <w:bottom w:val="none" w:sz="0" w:space="0" w:color="auto"/>
        <w:right w:val="none" w:sz="0" w:space="0" w:color="auto"/>
      </w:divBdr>
      <w:divsChild>
        <w:div w:id="510147574">
          <w:marLeft w:val="0"/>
          <w:marRight w:val="0"/>
          <w:marTop w:val="0"/>
          <w:marBottom w:val="0"/>
          <w:divBdr>
            <w:top w:val="none" w:sz="0" w:space="0" w:color="auto"/>
            <w:left w:val="none" w:sz="0" w:space="0" w:color="auto"/>
            <w:bottom w:val="none" w:sz="0" w:space="0" w:color="auto"/>
            <w:right w:val="none" w:sz="0" w:space="0" w:color="auto"/>
          </w:divBdr>
          <w:divsChild>
            <w:div w:id="2302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1181</Words>
  <Characters>6736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13</cp:revision>
  <dcterms:created xsi:type="dcterms:W3CDTF">2025-06-05T01:03:00Z</dcterms:created>
  <dcterms:modified xsi:type="dcterms:W3CDTF">2025-06-05T02:21:00Z</dcterms:modified>
</cp:coreProperties>
</file>